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1A06C">
      <w:pPr>
        <w:pStyle w:val="5"/>
        <w:spacing w:line="360" w:lineRule="auto"/>
        <w:jc w:val="center"/>
        <w:rPr>
          <w:rFonts w:hint="eastAsia" w:hAnsi="宋体" w:cs="宋体"/>
          <w:b/>
          <w:bCs/>
          <w:color w:val="auto"/>
          <w:spacing w:val="-20"/>
          <w:kern w:val="16"/>
          <w:sz w:val="44"/>
          <w:szCs w:val="44"/>
          <w:highlight w:val="none"/>
        </w:rPr>
      </w:pPr>
      <w:bookmarkStart w:id="0" w:name="_Toc381880843"/>
    </w:p>
    <w:p w14:paraId="7C4B315F">
      <w:pPr>
        <w:pStyle w:val="5"/>
        <w:spacing w:line="360" w:lineRule="auto"/>
        <w:jc w:val="center"/>
        <w:rPr>
          <w:rFonts w:hint="eastAsia" w:hAnsi="宋体" w:cs="宋体"/>
          <w:b/>
          <w:bCs/>
          <w:color w:val="auto"/>
          <w:spacing w:val="-20"/>
          <w:kern w:val="16"/>
          <w:sz w:val="44"/>
          <w:szCs w:val="44"/>
          <w:highlight w:val="none"/>
        </w:rPr>
      </w:pPr>
    </w:p>
    <w:p w14:paraId="6CDB35C0">
      <w:pPr>
        <w:pStyle w:val="5"/>
        <w:spacing w:line="360" w:lineRule="auto"/>
        <w:jc w:val="center"/>
        <w:outlineLvl w:val="0"/>
        <w:rPr>
          <w:rFonts w:hint="eastAsia" w:hAnsi="宋体" w:cs="宋体"/>
          <w:b/>
          <w:bCs/>
          <w:color w:val="auto"/>
          <w:spacing w:val="0"/>
          <w:kern w:val="16"/>
          <w:sz w:val="40"/>
          <w:szCs w:val="40"/>
          <w:highlight w:val="none"/>
          <w:lang w:eastAsia="zh-CN"/>
        </w:rPr>
      </w:pPr>
      <w:r>
        <w:rPr>
          <w:rFonts w:hint="eastAsia" w:hAnsi="宋体" w:cs="宋体"/>
          <w:b/>
          <w:bCs/>
          <w:color w:val="auto"/>
          <w:spacing w:val="0"/>
          <w:w w:val="95"/>
          <w:kern w:val="16"/>
          <w:sz w:val="44"/>
          <w:szCs w:val="44"/>
          <w:highlight w:val="none"/>
          <w:lang w:eastAsia="zh-CN"/>
        </w:rPr>
        <w:t>邹城市钢山街道邹鲁苑公园绿化养护管理服务项目</w:t>
      </w:r>
    </w:p>
    <w:p w14:paraId="1AB4DDE0">
      <w:pPr>
        <w:pStyle w:val="5"/>
        <w:spacing w:line="360" w:lineRule="auto"/>
        <w:jc w:val="center"/>
        <w:rPr>
          <w:rFonts w:hint="eastAsia" w:hAnsi="宋体" w:cs="宋体"/>
          <w:b/>
          <w:bCs/>
          <w:color w:val="auto"/>
          <w:spacing w:val="-20"/>
          <w:kern w:val="16"/>
          <w:sz w:val="44"/>
          <w:szCs w:val="44"/>
          <w:highlight w:val="none"/>
        </w:rPr>
      </w:pPr>
    </w:p>
    <w:p w14:paraId="12F8E63B">
      <w:pPr>
        <w:pStyle w:val="5"/>
        <w:spacing w:line="360" w:lineRule="auto"/>
        <w:jc w:val="center"/>
        <w:outlineLvl w:val="0"/>
        <w:rPr>
          <w:rFonts w:hint="eastAsia" w:hAnsi="宋体" w:cs="宋体"/>
          <w:b/>
          <w:color w:val="auto"/>
          <w:sz w:val="72"/>
          <w:szCs w:val="72"/>
          <w:highlight w:val="none"/>
        </w:rPr>
      </w:pPr>
      <w:bookmarkStart w:id="1" w:name="_Toc27424"/>
    </w:p>
    <w:p w14:paraId="0E6FA89C">
      <w:pPr>
        <w:pStyle w:val="5"/>
        <w:spacing w:line="360" w:lineRule="auto"/>
        <w:jc w:val="center"/>
        <w:outlineLvl w:val="0"/>
        <w:rPr>
          <w:rFonts w:hint="eastAsia" w:hAnsi="宋体" w:cs="宋体"/>
          <w:b/>
          <w:color w:val="auto"/>
          <w:sz w:val="56"/>
          <w:szCs w:val="56"/>
          <w:highlight w:val="none"/>
        </w:rPr>
      </w:pPr>
      <w:r>
        <w:rPr>
          <w:rFonts w:hint="eastAsia" w:hAnsi="宋体" w:cs="宋体"/>
          <w:b/>
          <w:color w:val="auto"/>
          <w:sz w:val="72"/>
          <w:szCs w:val="72"/>
          <w:highlight w:val="none"/>
        </w:rPr>
        <w:t>竞争性磋商文件</w:t>
      </w:r>
      <w:bookmarkEnd w:id="0"/>
      <w:bookmarkEnd w:id="1"/>
    </w:p>
    <w:p w14:paraId="2CF29B3B">
      <w:pPr>
        <w:spacing w:beforeLines="50" w:line="360" w:lineRule="auto"/>
        <w:jc w:val="center"/>
        <w:outlineLvl w:val="0"/>
        <w:rPr>
          <w:rFonts w:hint="eastAsia" w:ascii="宋体" w:hAnsi="宋体" w:eastAsia="宋体" w:cs="宋体"/>
          <w:b/>
          <w:bCs/>
          <w:color w:val="auto"/>
          <w:sz w:val="28"/>
          <w:szCs w:val="28"/>
          <w:highlight w:val="none"/>
          <w:lang w:eastAsia="zh-CN"/>
        </w:rPr>
      </w:pPr>
      <w:bookmarkStart w:id="2" w:name="_Toc12453"/>
      <w:r>
        <w:rPr>
          <w:rFonts w:ascii="宋体" w:hAnsi="宋体"/>
          <w:b/>
          <w:color w:val="auto"/>
          <w:sz w:val="28"/>
          <w:szCs w:val="28"/>
          <w:highlight w:val="none"/>
        </w:rPr>
        <w:t>项目编号：</w:t>
      </w:r>
      <w:bookmarkEnd w:id="2"/>
      <w:r>
        <w:rPr>
          <w:rFonts w:hint="eastAsia" w:ascii="宋体" w:hAnsi="宋体" w:cs="宋体"/>
          <w:b/>
          <w:bCs/>
          <w:color w:val="auto"/>
          <w:sz w:val="28"/>
          <w:szCs w:val="28"/>
          <w:highlight w:val="none"/>
          <w:lang w:eastAsia="zh-CN"/>
        </w:rPr>
        <w:t>JNZH-2025-0702</w:t>
      </w:r>
    </w:p>
    <w:p w14:paraId="78145C26">
      <w:pPr>
        <w:pStyle w:val="2"/>
        <w:rPr>
          <w:color w:val="auto"/>
          <w:highlight w:val="none"/>
        </w:rPr>
      </w:pPr>
    </w:p>
    <w:p w14:paraId="1526BF3F">
      <w:pPr>
        <w:spacing w:line="360" w:lineRule="auto"/>
        <w:jc w:val="center"/>
        <w:rPr>
          <w:rFonts w:ascii="宋体" w:hAnsi="宋体" w:cs="宋体"/>
          <w:b/>
          <w:bCs/>
          <w:color w:val="auto"/>
          <w:kern w:val="16"/>
          <w:sz w:val="36"/>
          <w:szCs w:val="36"/>
          <w:highlight w:val="none"/>
        </w:rPr>
      </w:pPr>
    </w:p>
    <w:p w14:paraId="50F6C3E1">
      <w:pPr>
        <w:spacing w:line="360" w:lineRule="auto"/>
        <w:jc w:val="center"/>
        <w:rPr>
          <w:rFonts w:ascii="宋体" w:hAnsi="宋体" w:cs="宋体"/>
          <w:b/>
          <w:bCs/>
          <w:color w:val="auto"/>
          <w:kern w:val="16"/>
          <w:sz w:val="36"/>
          <w:szCs w:val="36"/>
          <w:highlight w:val="none"/>
        </w:rPr>
      </w:pPr>
    </w:p>
    <w:p w14:paraId="1CFE7E35">
      <w:pPr>
        <w:pStyle w:val="18"/>
        <w:spacing w:line="360" w:lineRule="auto"/>
        <w:jc w:val="center"/>
        <w:rPr>
          <w:rFonts w:hint="eastAsia" w:ascii="宋体" w:hAnsi="宋体" w:cs="宋体"/>
          <w:color w:val="auto"/>
          <w:szCs w:val="21"/>
          <w:highlight w:val="none"/>
        </w:rPr>
      </w:pPr>
    </w:p>
    <w:p w14:paraId="239042EC">
      <w:pPr>
        <w:pStyle w:val="18"/>
        <w:spacing w:line="360" w:lineRule="auto"/>
        <w:jc w:val="center"/>
        <w:rPr>
          <w:rFonts w:hint="eastAsia" w:ascii="宋体" w:hAnsi="宋体" w:cs="宋体"/>
          <w:color w:val="auto"/>
          <w:szCs w:val="21"/>
          <w:highlight w:val="none"/>
        </w:rPr>
      </w:pPr>
    </w:p>
    <w:p w14:paraId="4BDBBC8F">
      <w:pPr>
        <w:pStyle w:val="18"/>
        <w:spacing w:line="360" w:lineRule="auto"/>
        <w:jc w:val="center"/>
        <w:rPr>
          <w:rFonts w:hint="eastAsia" w:ascii="宋体" w:hAnsi="宋体" w:cs="宋体"/>
          <w:color w:val="auto"/>
          <w:sz w:val="32"/>
          <w:highlight w:val="none"/>
        </w:rPr>
      </w:pPr>
    </w:p>
    <w:p w14:paraId="5757E3F7">
      <w:pPr>
        <w:pStyle w:val="18"/>
        <w:spacing w:line="360" w:lineRule="auto"/>
        <w:jc w:val="center"/>
        <w:rPr>
          <w:rFonts w:hint="eastAsia" w:ascii="宋体" w:hAnsi="宋体" w:cs="宋体"/>
          <w:color w:val="auto"/>
          <w:sz w:val="32"/>
          <w:highlight w:val="none"/>
        </w:rPr>
      </w:pPr>
    </w:p>
    <w:p w14:paraId="2D2ACDF8">
      <w:pPr>
        <w:pStyle w:val="18"/>
        <w:spacing w:line="360" w:lineRule="auto"/>
        <w:jc w:val="center"/>
        <w:rPr>
          <w:rFonts w:hint="eastAsia" w:ascii="宋体" w:hAnsi="宋体" w:cs="宋体"/>
          <w:color w:val="auto"/>
          <w:sz w:val="32"/>
          <w:highlight w:val="none"/>
        </w:rPr>
      </w:pPr>
    </w:p>
    <w:p w14:paraId="3823EC0F">
      <w:pPr>
        <w:pStyle w:val="18"/>
        <w:spacing w:line="360" w:lineRule="auto"/>
        <w:jc w:val="center"/>
        <w:rPr>
          <w:rFonts w:hint="eastAsia" w:ascii="宋体" w:hAnsi="宋体" w:cs="宋体"/>
          <w:color w:val="auto"/>
          <w:sz w:val="32"/>
          <w:highlight w:val="none"/>
        </w:rPr>
      </w:pPr>
    </w:p>
    <w:p w14:paraId="17D2CF8C">
      <w:pPr>
        <w:pStyle w:val="18"/>
        <w:spacing w:line="360" w:lineRule="auto"/>
        <w:jc w:val="center"/>
        <w:rPr>
          <w:rFonts w:hint="eastAsia" w:ascii="宋体" w:hAnsi="宋体" w:cs="宋体"/>
          <w:color w:val="auto"/>
          <w:sz w:val="32"/>
          <w:highlight w:val="none"/>
        </w:rPr>
      </w:pPr>
    </w:p>
    <w:p w14:paraId="2CAFC9F2">
      <w:pPr>
        <w:pStyle w:val="18"/>
        <w:spacing w:line="360" w:lineRule="auto"/>
        <w:jc w:val="center"/>
        <w:rPr>
          <w:rFonts w:hint="eastAsia" w:ascii="宋体" w:hAnsi="宋体" w:cs="宋体"/>
          <w:color w:val="auto"/>
          <w:sz w:val="32"/>
          <w:highlight w:val="none"/>
        </w:rPr>
      </w:pPr>
    </w:p>
    <w:p w14:paraId="32D95400">
      <w:pPr>
        <w:pStyle w:val="18"/>
        <w:keepNext w:val="0"/>
        <w:keepLines w:val="0"/>
        <w:pageBreakBefore w:val="0"/>
        <w:widowControl w:val="0"/>
        <w:kinsoku/>
        <w:wordWrap/>
        <w:overflowPunct/>
        <w:topLinePunct w:val="0"/>
        <w:autoSpaceDE/>
        <w:autoSpaceDN/>
        <w:bidi w:val="0"/>
        <w:adjustRightInd/>
        <w:snapToGrid/>
        <w:spacing w:line="640" w:lineRule="exact"/>
        <w:ind w:firstLine="1606" w:firstLineChars="500"/>
        <w:textAlignment w:val="auto"/>
        <w:outlineLvl w:val="0"/>
        <w:rPr>
          <w:rFonts w:hint="eastAsia" w:ascii="宋体" w:hAnsi="宋体" w:eastAsia="宋体" w:cs="宋体"/>
          <w:b/>
          <w:color w:val="auto"/>
          <w:sz w:val="32"/>
          <w:szCs w:val="32"/>
          <w:highlight w:val="none"/>
          <w:lang w:eastAsia="zh-CN"/>
        </w:rPr>
      </w:pPr>
      <w:bookmarkStart w:id="3" w:name="_Toc8733"/>
      <w:r>
        <w:rPr>
          <w:rFonts w:hint="eastAsia" w:ascii="宋体" w:hAnsi="宋体" w:cs="宋体"/>
          <w:b/>
          <w:color w:val="auto"/>
          <w:sz w:val="32"/>
          <w:szCs w:val="32"/>
          <w:highlight w:val="none"/>
        </w:rPr>
        <w:t>采 购 人：</w:t>
      </w:r>
      <w:bookmarkEnd w:id="3"/>
      <w:r>
        <w:rPr>
          <w:rFonts w:hint="eastAsia" w:ascii="宋体" w:hAnsi="宋体" w:cs="宋体"/>
          <w:b/>
          <w:color w:val="auto"/>
          <w:sz w:val="32"/>
          <w:szCs w:val="32"/>
          <w:highlight w:val="none"/>
          <w:lang w:eastAsia="zh-CN"/>
        </w:rPr>
        <w:t>邹城市钢山街道龙山社区居民委员会</w:t>
      </w:r>
    </w:p>
    <w:p w14:paraId="1E1075A9">
      <w:pPr>
        <w:pStyle w:val="18"/>
        <w:keepNext w:val="0"/>
        <w:keepLines w:val="0"/>
        <w:pageBreakBefore w:val="0"/>
        <w:widowControl w:val="0"/>
        <w:kinsoku/>
        <w:wordWrap/>
        <w:overflowPunct/>
        <w:topLinePunct w:val="0"/>
        <w:autoSpaceDE/>
        <w:autoSpaceDN/>
        <w:bidi w:val="0"/>
        <w:adjustRightInd/>
        <w:snapToGrid/>
        <w:spacing w:line="640" w:lineRule="exact"/>
        <w:ind w:firstLine="1606" w:firstLineChars="500"/>
        <w:textAlignment w:val="auto"/>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代理机构：</w:t>
      </w:r>
      <w:r>
        <w:rPr>
          <w:rFonts w:hint="eastAsia" w:ascii="宋体" w:hAnsi="宋体" w:cs="宋体"/>
          <w:b/>
          <w:color w:val="auto"/>
          <w:sz w:val="32"/>
          <w:szCs w:val="32"/>
          <w:highlight w:val="none"/>
          <w:lang w:eastAsia="zh-CN"/>
        </w:rPr>
        <w:t>济宁志合工程咨询有限公司</w:t>
      </w:r>
    </w:p>
    <w:p w14:paraId="3BBCC7C2">
      <w:pPr>
        <w:keepNext w:val="0"/>
        <w:keepLines w:val="0"/>
        <w:pageBreakBefore w:val="0"/>
        <w:widowControl w:val="0"/>
        <w:kinsoku/>
        <w:wordWrap/>
        <w:overflowPunct/>
        <w:topLinePunct w:val="0"/>
        <w:autoSpaceDE/>
        <w:autoSpaceDN/>
        <w:bidi w:val="0"/>
        <w:adjustRightInd/>
        <w:snapToGrid/>
        <w:spacing w:line="640" w:lineRule="exact"/>
        <w:ind w:firstLine="1606" w:firstLineChars="500"/>
        <w:textAlignment w:val="auto"/>
        <w:rPr>
          <w:rFonts w:hint="eastAsia" w:ascii="宋体" w:hAnsi="宋体" w:eastAsia="宋体" w:cs="宋体"/>
          <w:b/>
          <w:color w:val="auto"/>
          <w:sz w:val="32"/>
          <w:szCs w:val="32"/>
          <w:highlight w:val="none"/>
          <w:lang w:eastAsia="zh-CN"/>
        </w:rPr>
      </w:pPr>
      <w:r>
        <w:rPr>
          <w:rFonts w:ascii="宋体" w:hAnsi="宋体" w:cs="宋体"/>
          <w:b/>
          <w:color w:val="auto"/>
          <w:sz w:val="32"/>
          <w:szCs w:val="32"/>
          <w:highlight w:val="none"/>
        </w:rPr>
        <w:t>日    期：</w:t>
      </w:r>
      <w:r>
        <w:rPr>
          <w:rFonts w:hint="eastAsia" w:ascii="宋体" w:hAnsi="宋体" w:cs="宋体"/>
          <w:b/>
          <w:color w:val="auto"/>
          <w:sz w:val="32"/>
          <w:szCs w:val="32"/>
          <w:highlight w:val="none"/>
          <w:lang w:eastAsia="zh-CN"/>
        </w:rPr>
        <w:t>二○二五年七月</w:t>
      </w:r>
    </w:p>
    <w:p w14:paraId="165E09BC">
      <w:pPr>
        <w:pStyle w:val="19"/>
        <w:spacing w:before="73"/>
        <w:jc w:val="both"/>
        <w:rPr>
          <w:color w:val="auto"/>
          <w:highlight w:val="none"/>
        </w:rPr>
      </w:pPr>
    </w:p>
    <w:p w14:paraId="0CE47170">
      <w:pPr>
        <w:jc w:val="center"/>
        <w:rPr>
          <w:rFonts w:ascii="宋体" w:hAnsi="宋体" w:cs="宋体"/>
          <w:b/>
          <w:bCs/>
          <w:color w:val="auto"/>
          <w:sz w:val="44"/>
          <w:szCs w:val="44"/>
          <w:highlight w:val="none"/>
        </w:rPr>
        <w:sectPr>
          <w:headerReference r:id="rId7" w:type="first"/>
          <w:headerReference r:id="rId5" w:type="default"/>
          <w:headerReference r:id="rId6" w:type="even"/>
          <w:footerReference r:id="rId8" w:type="even"/>
          <w:pgSz w:w="11906" w:h="16838"/>
          <w:pgMar w:top="1134" w:right="1134" w:bottom="1134" w:left="1134" w:header="851" w:footer="851" w:gutter="0"/>
          <w:lnNumType w:countBy="0" w:restart="continuous"/>
          <w:pgNumType w:start="1"/>
          <w:cols w:space="720" w:num="1"/>
          <w:titlePg/>
          <w:rtlGutter w:val="0"/>
          <w:docGrid w:type="lines" w:linePitch="292" w:charSpace="0"/>
        </w:sectPr>
      </w:pPr>
    </w:p>
    <w:p w14:paraId="2154954A">
      <w:pPr>
        <w:jc w:val="center"/>
        <w:rPr>
          <w:rFonts w:ascii="宋体" w:hAnsi="宋体" w:cs="宋体"/>
          <w:b/>
          <w:bCs/>
          <w:color w:val="auto"/>
          <w:sz w:val="44"/>
          <w:szCs w:val="44"/>
          <w:highlight w:val="none"/>
        </w:rPr>
      </w:pPr>
      <w:r>
        <w:rPr>
          <w:rFonts w:ascii="宋体" w:hAnsi="宋体" w:cs="宋体"/>
          <w:b/>
          <w:bCs/>
          <w:color w:val="auto"/>
          <w:sz w:val="44"/>
          <w:szCs w:val="44"/>
          <w:highlight w:val="none"/>
        </w:rPr>
        <w:t>目  录</w:t>
      </w:r>
    </w:p>
    <w:p w14:paraId="30F5BE51">
      <w:pPr>
        <w:pStyle w:val="9"/>
        <w:tabs>
          <w:tab w:val="right" w:leader="dot" w:pos="9638"/>
        </w:tabs>
        <w:rPr>
          <w:rFonts w:ascii="宋体" w:hAnsi="宋体" w:cs="宋体"/>
          <w:color w:val="auto"/>
          <w:sz w:val="24"/>
          <w:highlight w:val="none"/>
        </w:rPr>
      </w:pPr>
      <w:r>
        <w:rPr>
          <w:rFonts w:ascii="宋体" w:hAnsi="宋体" w:cs="宋体"/>
          <w:color w:val="auto"/>
          <w:sz w:val="24"/>
          <w:highlight w:val="none"/>
        </w:rPr>
        <w:fldChar w:fldCharType="begin"/>
      </w:r>
      <w:r>
        <w:rPr>
          <w:rFonts w:ascii="宋体" w:hAnsi="宋体" w:cs="宋体"/>
          <w:color w:val="auto"/>
          <w:sz w:val="24"/>
          <w:highlight w:val="none"/>
        </w:rPr>
        <w:instrText xml:space="preserve">TOC \o "1-1" \h \u </w:instrText>
      </w:r>
      <w:r>
        <w:rPr>
          <w:rFonts w:ascii="宋体" w:hAnsi="宋体" w:cs="宋体"/>
          <w:color w:val="auto"/>
          <w:sz w:val="24"/>
          <w:highlight w:val="none"/>
        </w:rPr>
        <w:fldChar w:fldCharType="separate"/>
      </w:r>
    </w:p>
    <w:p w14:paraId="75B8F2B9">
      <w:pPr>
        <w:pStyle w:val="20"/>
        <w:keepNext w:val="0"/>
        <w:keepLines w:val="0"/>
        <w:pageBreakBefore w:val="0"/>
        <w:widowControl/>
        <w:tabs>
          <w:tab w:val="right" w:leader="dot" w:pos="9638"/>
        </w:tabs>
        <w:kinsoku/>
        <w:wordWrap/>
        <w:overflowPunct/>
        <w:topLinePunct w:val="0"/>
        <w:autoSpaceDE/>
        <w:autoSpaceDN/>
        <w:bidi w:val="0"/>
        <w:adjustRightInd/>
        <w:snapToGrid/>
        <w:spacing w:line="600" w:lineRule="auto"/>
        <w:textAlignment w:val="auto"/>
        <w:rPr>
          <w:rFonts w:hint="eastAsia" w:ascii="宋体" w:hAnsi="宋体" w:eastAsia="宋体" w:cs="宋体"/>
          <w:b/>
          <w:bCs/>
          <w:color w:val="auto"/>
          <w:sz w:val="24"/>
          <w:szCs w:val="24"/>
          <w:highlight w:val="none"/>
        </w:rPr>
      </w:pPr>
      <w:r>
        <w:rPr>
          <w:rFonts w:hint="eastAsia"/>
          <w:color w:val="auto"/>
          <w:highlight w:val="none"/>
          <w:lang w:val="en-US" w:eastAsia="zh-CN"/>
        </w:rPr>
        <w:fldChar w:fldCharType="begin"/>
      </w:r>
      <w:r>
        <w:rPr>
          <w:rFonts w:hint="eastAsia"/>
          <w:color w:val="auto"/>
          <w:highlight w:val="none"/>
          <w:lang w:val="en-US" w:eastAsia="zh-CN"/>
        </w:rPr>
        <w:instrText xml:space="preserve">TOC \o "1-1" \h \u </w:instrText>
      </w:r>
      <w:r>
        <w:rPr>
          <w:rFonts w:hint="eastAsia"/>
          <w:color w:val="auto"/>
          <w:highlight w:val="none"/>
          <w:lang w:val="en-US" w:eastAsia="zh-CN"/>
        </w:rPr>
        <w:fldChar w:fldCharType="separate"/>
      </w: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\l _Toc1425 </w:instrText>
      </w:r>
      <w:r>
        <w:rPr>
          <w:rFonts w:hint="eastAsia" w:ascii="宋体" w:hAnsi="宋体" w:eastAsia="宋体" w:cs="宋体"/>
          <w:b/>
          <w:bCs/>
          <w:color w:val="auto"/>
          <w:sz w:val="24"/>
          <w:szCs w:val="24"/>
          <w:highlight w:val="none"/>
          <w:lang w:val="en-US" w:eastAsia="zh-CN"/>
        </w:rPr>
        <w:fldChar w:fldCharType="separate"/>
      </w:r>
      <w:r>
        <w:rPr>
          <w:rFonts w:hint="eastAsia" w:ascii="宋体" w:hAnsi="宋体" w:eastAsia="宋体" w:cs="宋体"/>
          <w:b/>
          <w:bCs/>
          <w:color w:val="auto"/>
          <w:sz w:val="24"/>
          <w:szCs w:val="24"/>
          <w:highlight w:val="none"/>
        </w:rPr>
        <w:t>第一部分  竞争性磋商公告</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_Toc1425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fldChar w:fldCharType="end"/>
      </w:r>
    </w:p>
    <w:p w14:paraId="115A8843">
      <w:pPr>
        <w:pStyle w:val="20"/>
        <w:keepNext w:val="0"/>
        <w:keepLines w:val="0"/>
        <w:pageBreakBefore w:val="0"/>
        <w:widowControl/>
        <w:tabs>
          <w:tab w:val="right" w:leader="dot" w:pos="9638"/>
        </w:tabs>
        <w:kinsoku/>
        <w:wordWrap/>
        <w:overflowPunct/>
        <w:topLinePunct w:val="0"/>
        <w:autoSpaceDE/>
        <w:autoSpaceDN/>
        <w:bidi w:val="0"/>
        <w:adjustRightInd/>
        <w:snapToGrid/>
        <w:spacing w:line="60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\l _Toc31184 </w:instrText>
      </w:r>
      <w:r>
        <w:rPr>
          <w:rFonts w:hint="eastAsia" w:ascii="宋体" w:hAnsi="宋体" w:eastAsia="宋体" w:cs="宋体"/>
          <w:b/>
          <w:bCs/>
          <w:color w:val="auto"/>
          <w:sz w:val="24"/>
          <w:szCs w:val="24"/>
          <w:highlight w:val="none"/>
          <w:lang w:val="en-US" w:eastAsia="zh-CN"/>
        </w:rPr>
        <w:fldChar w:fldCharType="separate"/>
      </w:r>
      <w:r>
        <w:rPr>
          <w:rFonts w:hint="eastAsia" w:ascii="宋体" w:hAnsi="宋体" w:eastAsia="宋体" w:cs="宋体"/>
          <w:b/>
          <w:bCs/>
          <w:color w:val="auto"/>
          <w:sz w:val="24"/>
          <w:szCs w:val="24"/>
          <w:highlight w:val="none"/>
        </w:rPr>
        <w:t>第二部分  磋商响应方须知及响应方须知前附表</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_Toc31184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5</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fldChar w:fldCharType="end"/>
      </w:r>
    </w:p>
    <w:p w14:paraId="4C2ABEC2">
      <w:pPr>
        <w:pStyle w:val="20"/>
        <w:keepNext w:val="0"/>
        <w:keepLines w:val="0"/>
        <w:pageBreakBefore w:val="0"/>
        <w:widowControl/>
        <w:tabs>
          <w:tab w:val="right" w:leader="dot" w:pos="9638"/>
        </w:tabs>
        <w:kinsoku/>
        <w:wordWrap/>
        <w:overflowPunct/>
        <w:topLinePunct w:val="0"/>
        <w:autoSpaceDE/>
        <w:autoSpaceDN/>
        <w:bidi w:val="0"/>
        <w:adjustRightInd/>
        <w:snapToGrid/>
        <w:spacing w:line="60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\l _Toc11948 </w:instrText>
      </w:r>
      <w:r>
        <w:rPr>
          <w:rFonts w:hint="eastAsia" w:ascii="宋体" w:hAnsi="宋体" w:eastAsia="宋体" w:cs="宋体"/>
          <w:b/>
          <w:bCs/>
          <w:color w:val="auto"/>
          <w:sz w:val="24"/>
          <w:szCs w:val="24"/>
          <w:highlight w:val="none"/>
          <w:lang w:val="en-US" w:eastAsia="zh-CN"/>
        </w:rPr>
        <w:fldChar w:fldCharType="separate"/>
      </w:r>
      <w:r>
        <w:rPr>
          <w:rFonts w:hint="eastAsia" w:ascii="宋体" w:hAnsi="宋体" w:eastAsia="宋体" w:cs="宋体"/>
          <w:b/>
          <w:bCs/>
          <w:color w:val="auto"/>
          <w:sz w:val="24"/>
          <w:szCs w:val="24"/>
          <w:highlight w:val="none"/>
        </w:rPr>
        <w:t>第三部分  磋商组织、步骤与评审方法</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_Toc11948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16</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fldChar w:fldCharType="end"/>
      </w:r>
    </w:p>
    <w:p w14:paraId="56C717C1">
      <w:pPr>
        <w:pStyle w:val="20"/>
        <w:keepNext w:val="0"/>
        <w:keepLines w:val="0"/>
        <w:pageBreakBefore w:val="0"/>
        <w:widowControl/>
        <w:tabs>
          <w:tab w:val="right" w:leader="dot" w:pos="9638"/>
        </w:tabs>
        <w:kinsoku/>
        <w:wordWrap/>
        <w:overflowPunct/>
        <w:topLinePunct w:val="0"/>
        <w:autoSpaceDE/>
        <w:autoSpaceDN/>
        <w:bidi w:val="0"/>
        <w:adjustRightInd/>
        <w:snapToGrid/>
        <w:spacing w:line="600" w:lineRule="auto"/>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\l _Toc21242 </w:instrText>
      </w:r>
      <w:r>
        <w:rPr>
          <w:rFonts w:hint="eastAsia" w:ascii="宋体" w:hAnsi="宋体" w:eastAsia="宋体" w:cs="宋体"/>
          <w:b/>
          <w:bCs/>
          <w:color w:val="auto"/>
          <w:sz w:val="24"/>
          <w:szCs w:val="24"/>
          <w:highlight w:val="none"/>
          <w:lang w:val="en-US" w:eastAsia="zh-CN"/>
        </w:rPr>
        <w:fldChar w:fldCharType="separate"/>
      </w:r>
      <w:r>
        <w:rPr>
          <w:rFonts w:hint="eastAsia" w:ascii="宋体" w:hAnsi="宋体" w:eastAsia="宋体" w:cs="宋体"/>
          <w:b/>
          <w:bCs/>
          <w:color w:val="auto"/>
          <w:sz w:val="24"/>
          <w:szCs w:val="24"/>
          <w:highlight w:val="none"/>
        </w:rPr>
        <w:t>第四部分  采购内容及要求</w:t>
      </w:r>
      <w:r>
        <w:rPr>
          <w:rFonts w:hint="eastAsia" w:ascii="宋体" w:hAnsi="宋体" w:eastAsia="宋体" w:cs="宋体"/>
          <w:b/>
          <w:bCs/>
          <w:color w:val="auto"/>
          <w:sz w:val="24"/>
          <w:szCs w:val="24"/>
          <w:highlight w:val="none"/>
        </w:rPr>
        <w:tab/>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fldChar w:fldCharType="end"/>
      </w:r>
      <w:r>
        <w:rPr>
          <w:rFonts w:hint="eastAsia" w:ascii="宋体" w:hAnsi="宋体" w:cs="宋体"/>
          <w:b/>
          <w:bCs/>
          <w:color w:val="auto"/>
          <w:sz w:val="24"/>
          <w:szCs w:val="24"/>
          <w:highlight w:val="none"/>
          <w:lang w:val="en-US" w:eastAsia="zh-CN"/>
        </w:rPr>
        <w:t>9</w:t>
      </w:r>
    </w:p>
    <w:p w14:paraId="73E7288E">
      <w:pPr>
        <w:pStyle w:val="20"/>
        <w:keepNext w:val="0"/>
        <w:keepLines w:val="0"/>
        <w:pageBreakBefore w:val="0"/>
        <w:widowControl/>
        <w:tabs>
          <w:tab w:val="right" w:leader="dot" w:pos="9638"/>
        </w:tabs>
        <w:kinsoku/>
        <w:wordWrap/>
        <w:overflowPunct/>
        <w:topLinePunct w:val="0"/>
        <w:autoSpaceDE/>
        <w:autoSpaceDN/>
        <w:bidi w:val="0"/>
        <w:adjustRightInd/>
        <w:snapToGrid/>
        <w:spacing w:line="600" w:lineRule="auto"/>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\l _Toc21913 </w:instrText>
      </w:r>
      <w:r>
        <w:rPr>
          <w:rFonts w:hint="eastAsia" w:ascii="宋体" w:hAnsi="宋体" w:eastAsia="宋体" w:cs="宋体"/>
          <w:b/>
          <w:bCs/>
          <w:color w:val="auto"/>
          <w:sz w:val="24"/>
          <w:szCs w:val="24"/>
          <w:highlight w:val="none"/>
          <w:lang w:val="en-US" w:eastAsia="zh-CN"/>
        </w:rPr>
        <w:fldChar w:fldCharType="separate"/>
      </w:r>
      <w:r>
        <w:rPr>
          <w:rFonts w:hint="eastAsia" w:ascii="宋体" w:hAnsi="宋体" w:eastAsia="宋体" w:cs="宋体"/>
          <w:b/>
          <w:bCs/>
          <w:color w:val="auto"/>
          <w:sz w:val="24"/>
          <w:szCs w:val="24"/>
          <w:highlight w:val="none"/>
        </w:rPr>
        <w:t>第五部分  合同授予</w:t>
      </w:r>
      <w:r>
        <w:rPr>
          <w:rFonts w:hint="eastAsia" w:ascii="宋体" w:hAnsi="宋体" w:eastAsia="宋体" w:cs="宋体"/>
          <w:b/>
          <w:bCs/>
          <w:color w:val="auto"/>
          <w:sz w:val="24"/>
          <w:szCs w:val="24"/>
          <w:highlight w:val="none"/>
        </w:rPr>
        <w:tab/>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fldChar w:fldCharType="end"/>
      </w:r>
      <w:r>
        <w:rPr>
          <w:rFonts w:hint="eastAsia" w:ascii="宋体" w:hAnsi="宋体" w:cs="宋体"/>
          <w:b/>
          <w:bCs/>
          <w:color w:val="auto"/>
          <w:sz w:val="24"/>
          <w:szCs w:val="24"/>
          <w:highlight w:val="none"/>
          <w:lang w:val="en-US" w:eastAsia="zh-CN"/>
        </w:rPr>
        <w:t>1</w:t>
      </w:r>
    </w:p>
    <w:p w14:paraId="3FB89FE5">
      <w:pPr>
        <w:pStyle w:val="20"/>
        <w:keepNext w:val="0"/>
        <w:keepLines w:val="0"/>
        <w:pageBreakBefore w:val="0"/>
        <w:widowControl/>
        <w:tabs>
          <w:tab w:val="right" w:leader="dot" w:pos="9638"/>
        </w:tabs>
        <w:kinsoku/>
        <w:wordWrap/>
        <w:overflowPunct/>
        <w:topLinePunct w:val="0"/>
        <w:autoSpaceDE/>
        <w:autoSpaceDN/>
        <w:bidi w:val="0"/>
        <w:adjustRightInd/>
        <w:snapToGrid/>
        <w:spacing w:line="600" w:lineRule="auto"/>
        <w:textAlignment w:val="auto"/>
        <w:rPr>
          <w:rFonts w:hint="default"/>
          <w:color w:val="auto"/>
          <w:highlight w:val="none"/>
          <w:lang w:val="en-US"/>
        </w:rPr>
      </w:pP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\l _Toc10860 </w:instrText>
      </w:r>
      <w:r>
        <w:rPr>
          <w:rFonts w:hint="eastAsia" w:ascii="宋体" w:hAnsi="宋体" w:eastAsia="宋体" w:cs="宋体"/>
          <w:b/>
          <w:bCs/>
          <w:color w:val="auto"/>
          <w:sz w:val="24"/>
          <w:szCs w:val="24"/>
          <w:highlight w:val="none"/>
          <w:lang w:val="en-US" w:eastAsia="zh-CN"/>
        </w:rPr>
        <w:fldChar w:fldCharType="separate"/>
      </w:r>
      <w:r>
        <w:rPr>
          <w:rFonts w:hint="eastAsia" w:ascii="宋体" w:hAnsi="宋体" w:eastAsia="宋体" w:cs="宋体"/>
          <w:b/>
          <w:bCs/>
          <w:color w:val="auto"/>
          <w:sz w:val="24"/>
          <w:szCs w:val="24"/>
          <w:highlight w:val="none"/>
        </w:rPr>
        <w:t>第六部分  响应文件部分格式</w:t>
      </w:r>
      <w:r>
        <w:rPr>
          <w:rFonts w:hint="eastAsia" w:ascii="宋体" w:hAnsi="宋体" w:eastAsia="宋体" w:cs="宋体"/>
          <w:b/>
          <w:bCs/>
          <w:color w:val="auto"/>
          <w:sz w:val="24"/>
          <w:szCs w:val="24"/>
          <w:highlight w:val="none"/>
        </w:rPr>
        <w:tab/>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fldChar w:fldCharType="end"/>
      </w:r>
      <w:r>
        <w:rPr>
          <w:rFonts w:hint="eastAsia" w:ascii="宋体" w:hAnsi="宋体" w:cs="宋体"/>
          <w:b/>
          <w:bCs/>
          <w:color w:val="auto"/>
          <w:sz w:val="24"/>
          <w:szCs w:val="24"/>
          <w:highlight w:val="none"/>
          <w:lang w:val="en-US" w:eastAsia="zh-CN"/>
        </w:rPr>
        <w:t>8</w:t>
      </w:r>
    </w:p>
    <w:p w14:paraId="643B4477">
      <w:pPr>
        <w:rPr>
          <w:rFonts w:hint="eastAsia"/>
          <w:color w:val="auto"/>
          <w:highlight w:val="none"/>
          <w:lang w:val="en-US" w:eastAsia="zh-CN"/>
        </w:rPr>
      </w:pPr>
      <w:r>
        <w:rPr>
          <w:rFonts w:hint="eastAsia"/>
          <w:color w:val="auto"/>
          <w:highlight w:val="none"/>
          <w:lang w:val="en-US" w:eastAsia="zh-CN"/>
        </w:rPr>
        <w:fldChar w:fldCharType="end"/>
      </w:r>
    </w:p>
    <w:p w14:paraId="14A3C852">
      <w:pPr>
        <w:pStyle w:val="9"/>
        <w:tabs>
          <w:tab w:val="right" w:leader="dot" w:pos="9638"/>
        </w:tabs>
        <w:rPr>
          <w:color w:val="auto"/>
          <w:highlight w:val="none"/>
        </w:rPr>
      </w:pPr>
    </w:p>
    <w:p w14:paraId="013E2148">
      <w:pPr>
        <w:rPr>
          <w:rFonts w:ascii="宋体" w:hAnsi="宋体" w:cs="宋体"/>
          <w:color w:val="auto"/>
          <w:sz w:val="24"/>
          <w:highlight w:val="none"/>
        </w:rPr>
      </w:pPr>
      <w:r>
        <w:rPr>
          <w:rFonts w:ascii="宋体" w:hAnsi="宋体" w:cs="宋体"/>
          <w:color w:val="auto"/>
          <w:highlight w:val="none"/>
        </w:rPr>
        <w:fldChar w:fldCharType="end"/>
      </w:r>
    </w:p>
    <w:p w14:paraId="44B73073">
      <w:pPr>
        <w:spacing w:line="600" w:lineRule="exact"/>
        <w:rPr>
          <w:rFonts w:ascii="宋体" w:hAnsi="宋体" w:cs="宋体"/>
          <w:color w:val="auto"/>
          <w:sz w:val="32"/>
          <w:szCs w:val="32"/>
          <w:highlight w:val="none"/>
        </w:rPr>
        <w:sectPr>
          <w:footerReference r:id="rId10" w:type="first"/>
          <w:footerReference r:id="rId9" w:type="default"/>
          <w:type w:val="nextColumn"/>
          <w:pgSz w:w="11906" w:h="16838"/>
          <w:pgMar w:top="1134" w:right="1134" w:bottom="1134" w:left="1134" w:header="851" w:footer="851" w:gutter="0"/>
          <w:lnNumType w:countBy="0" w:restart="continuous"/>
          <w:pgNumType w:start="1"/>
          <w:cols w:space="720" w:num="1"/>
          <w:rtlGutter w:val="0"/>
          <w:docGrid w:type="lines" w:linePitch="292" w:charSpace="0"/>
        </w:sectPr>
      </w:pPr>
    </w:p>
    <w:p w14:paraId="503BE9C2">
      <w:pPr>
        <w:jc w:val="center"/>
        <w:outlineLvl w:val="0"/>
        <w:rPr>
          <w:rFonts w:ascii="宋体" w:hAnsi="宋体" w:cs="宋体"/>
          <w:b/>
          <w:color w:val="auto"/>
          <w:sz w:val="32"/>
          <w:szCs w:val="32"/>
          <w:highlight w:val="none"/>
        </w:rPr>
      </w:pPr>
      <w:bookmarkStart w:id="4" w:name="_Toc16001_WPSOffice_Level1"/>
      <w:bookmarkStart w:id="5" w:name="_Toc1425"/>
      <w:bookmarkStart w:id="6" w:name="_Toc11659837"/>
      <w:bookmarkStart w:id="7" w:name="_Toc32592"/>
      <w:r>
        <w:rPr>
          <w:rFonts w:ascii="宋体" w:hAnsi="宋体" w:cs="宋体"/>
          <w:b/>
          <w:color w:val="auto"/>
          <w:sz w:val="32"/>
          <w:szCs w:val="32"/>
          <w:highlight w:val="none"/>
        </w:rPr>
        <w:t>第一部分  竞争性磋商公告</w:t>
      </w:r>
      <w:bookmarkEnd w:id="4"/>
      <w:bookmarkEnd w:id="5"/>
      <w:bookmarkEnd w:id="6"/>
      <w:bookmarkEnd w:id="7"/>
    </w:p>
    <w:p w14:paraId="3735C413">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宋体" w:hAnsi="宋体" w:cs="宋体"/>
          <w:b/>
          <w:bCs/>
          <w:color w:val="auto"/>
          <w:kern w:val="0"/>
          <w:sz w:val="24"/>
          <w:highlight w:val="none"/>
        </w:rPr>
      </w:pPr>
      <w:r>
        <w:rPr>
          <w:rFonts w:hint="eastAsia" w:ascii="宋体" w:hAnsi="宋体" w:cs="宋体"/>
          <w:b/>
          <w:bCs/>
          <w:color w:val="auto"/>
          <w:spacing w:val="0"/>
          <w:kern w:val="0"/>
          <w:sz w:val="24"/>
          <w:highlight w:val="none"/>
          <w:lang w:eastAsia="zh-CN"/>
        </w:rPr>
        <w:t>邹城市钢山街道邹鲁苑公园绿化养护管理服务项目</w:t>
      </w:r>
      <w:r>
        <w:rPr>
          <w:rFonts w:ascii="宋体" w:hAnsi="宋体" w:cs="宋体"/>
          <w:b/>
          <w:bCs/>
          <w:color w:val="auto"/>
          <w:spacing w:val="0"/>
          <w:kern w:val="0"/>
          <w:sz w:val="24"/>
          <w:highlight w:val="none"/>
        </w:rPr>
        <w:t>竞争性磋商公告</w:t>
      </w:r>
    </w:p>
    <w:p w14:paraId="430A91D6">
      <w:pPr>
        <w:keepNext w:val="0"/>
        <w:keepLines w:val="0"/>
        <w:pageBreakBefore w:val="0"/>
        <w:widowControl/>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rPr>
        <w:t>一、采 购 人：</w:t>
      </w:r>
      <w:r>
        <w:rPr>
          <w:rFonts w:hint="eastAsia" w:ascii="宋体" w:hAnsi="宋体" w:cs="宋体"/>
          <w:b/>
          <w:bCs/>
          <w:color w:val="auto"/>
          <w:kern w:val="0"/>
          <w:sz w:val="24"/>
          <w:highlight w:val="none"/>
          <w:lang w:eastAsia="zh-CN"/>
        </w:rPr>
        <w:t>邹城市钢山街道龙山社区居民委员会</w:t>
      </w:r>
    </w:p>
    <w:p w14:paraId="1311B260">
      <w:pPr>
        <w:keepNext w:val="0"/>
        <w:keepLines w:val="0"/>
        <w:pageBreakBefore w:val="0"/>
        <w:widowControl/>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rPr>
        <w:t>二、项目名称：</w:t>
      </w:r>
      <w:r>
        <w:rPr>
          <w:rFonts w:hint="eastAsia" w:ascii="宋体" w:hAnsi="宋体" w:cs="宋体"/>
          <w:b/>
          <w:bCs/>
          <w:color w:val="auto"/>
          <w:kern w:val="0"/>
          <w:sz w:val="24"/>
          <w:highlight w:val="none"/>
          <w:lang w:eastAsia="zh-CN"/>
        </w:rPr>
        <w:t>邹城市钢山街道邹鲁苑公园绿化养护管理服务项目</w:t>
      </w:r>
    </w:p>
    <w:p w14:paraId="5F654CBD">
      <w:pPr>
        <w:keepNext w:val="0"/>
        <w:keepLines w:val="0"/>
        <w:pageBreakBefore w:val="0"/>
        <w:widowControl/>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rPr>
        <w:t>三、项目编号：</w:t>
      </w:r>
      <w:r>
        <w:rPr>
          <w:rFonts w:hint="eastAsia" w:ascii="宋体" w:hAnsi="宋体" w:cs="宋体"/>
          <w:b/>
          <w:bCs/>
          <w:color w:val="auto"/>
          <w:kern w:val="0"/>
          <w:sz w:val="24"/>
          <w:highlight w:val="none"/>
          <w:lang w:eastAsia="zh-CN"/>
        </w:rPr>
        <w:t>JNZH-2025-0702</w:t>
      </w:r>
    </w:p>
    <w:p w14:paraId="7ABB9DA8">
      <w:pPr>
        <w:keepNext w:val="0"/>
        <w:keepLines w:val="0"/>
        <w:pageBreakBefore w:val="0"/>
        <w:widowControl/>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cs="宋体"/>
          <w:color w:val="auto"/>
          <w:kern w:val="0"/>
          <w:sz w:val="24"/>
          <w:highlight w:val="none"/>
        </w:rPr>
      </w:pPr>
      <w:r>
        <w:rPr>
          <w:rFonts w:hint="eastAsia" w:ascii="宋体" w:hAnsi="宋体" w:cs="宋体"/>
          <w:b/>
          <w:bCs/>
          <w:color w:val="auto"/>
          <w:kern w:val="0"/>
          <w:sz w:val="24"/>
          <w:highlight w:val="none"/>
        </w:rPr>
        <w:t>四、采购内容及项目概况：</w:t>
      </w:r>
    </w:p>
    <w:p w14:paraId="618F9C85">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本项目为</w:t>
      </w:r>
      <w:r>
        <w:rPr>
          <w:rFonts w:hint="eastAsia" w:ascii="宋体" w:hAnsi="宋体" w:cs="宋体"/>
          <w:color w:val="auto"/>
          <w:kern w:val="0"/>
          <w:sz w:val="24"/>
          <w:highlight w:val="none"/>
          <w:lang w:eastAsia="zh-CN"/>
        </w:rPr>
        <w:t>邹城市钢山街道邹鲁苑公园绿化养护管理服务项目</w:t>
      </w:r>
      <w:r>
        <w:rPr>
          <w:rFonts w:hint="eastAsia" w:ascii="宋体" w:hAnsi="宋体" w:cs="宋体"/>
          <w:color w:val="auto"/>
          <w:kern w:val="0"/>
          <w:sz w:val="24"/>
          <w:highlight w:val="none"/>
        </w:rPr>
        <w:t>，主要</w:t>
      </w:r>
      <w:r>
        <w:rPr>
          <w:rFonts w:hint="eastAsia" w:ascii="宋体" w:hAnsi="宋体" w:cs="宋体"/>
          <w:color w:val="auto"/>
          <w:kern w:val="0"/>
          <w:sz w:val="24"/>
          <w:highlight w:val="none"/>
          <w:lang w:val="en-US" w:eastAsia="zh-CN"/>
        </w:rPr>
        <w:t>内容包括邹城市钢山街道邹鲁苑公园范围内的绿化养护管理</w:t>
      </w:r>
      <w:r>
        <w:rPr>
          <w:rFonts w:hint="eastAsia" w:ascii="宋体" w:hAnsi="宋体" w:cs="宋体"/>
          <w:color w:val="auto"/>
          <w:kern w:val="0"/>
          <w:sz w:val="24"/>
          <w:highlight w:val="none"/>
          <w:lang w:eastAsia="zh-CN"/>
        </w:rPr>
        <w:t>工作</w:t>
      </w:r>
      <w:r>
        <w:rPr>
          <w:rFonts w:hint="eastAsia" w:ascii="宋体" w:hAnsi="宋体" w:cs="宋体"/>
          <w:color w:val="auto"/>
          <w:kern w:val="0"/>
          <w:sz w:val="24"/>
          <w:highlight w:val="none"/>
        </w:rPr>
        <w:t>。采购预算为</w:t>
      </w:r>
      <w:r>
        <w:rPr>
          <w:rFonts w:hint="eastAsia" w:ascii="宋体" w:hAnsi="宋体" w:cs="宋体"/>
          <w:color w:val="auto"/>
          <w:kern w:val="0"/>
          <w:sz w:val="24"/>
          <w:highlight w:val="none"/>
          <w:lang w:val="en-US" w:eastAsia="zh-CN"/>
        </w:rPr>
        <w:t>278000.00</w:t>
      </w:r>
      <w:r>
        <w:rPr>
          <w:rFonts w:hint="eastAsia" w:ascii="宋体" w:hAnsi="宋体" w:cs="宋体"/>
          <w:color w:val="auto"/>
          <w:kern w:val="0"/>
          <w:sz w:val="24"/>
          <w:highlight w:val="none"/>
        </w:rPr>
        <w:t>元（详见第四</w:t>
      </w:r>
      <w:r>
        <w:rPr>
          <w:rFonts w:hint="eastAsia" w:ascii="宋体" w:hAnsi="宋体" w:cs="宋体"/>
          <w:color w:val="auto"/>
          <w:kern w:val="0"/>
          <w:sz w:val="24"/>
          <w:highlight w:val="none"/>
          <w:lang w:eastAsia="zh-CN"/>
        </w:rPr>
        <w:t>部分</w:t>
      </w:r>
      <w:r>
        <w:rPr>
          <w:rFonts w:hint="eastAsia" w:ascii="宋体" w:hAnsi="宋体" w:cs="宋体"/>
          <w:color w:val="auto"/>
          <w:kern w:val="0"/>
          <w:sz w:val="24"/>
          <w:highlight w:val="none"/>
        </w:rPr>
        <w:t>采购内容及要求）。</w:t>
      </w:r>
    </w:p>
    <w:p w14:paraId="6805C340">
      <w:pPr>
        <w:keepNext w:val="0"/>
        <w:keepLines w:val="0"/>
        <w:pageBreakBefore w:val="0"/>
        <w:widowControl/>
        <w:kinsoku/>
        <w:wordWrap/>
        <w:overflowPunct/>
        <w:topLinePunct w:val="0"/>
        <w:autoSpaceDE/>
        <w:autoSpaceDN/>
        <w:bidi w:val="0"/>
        <w:adjustRightInd w:val="0"/>
        <w:snapToGrid w:val="0"/>
        <w:spacing w:line="560" w:lineRule="exact"/>
        <w:ind w:firstLine="482" w:firstLineChars="200"/>
        <w:jc w:val="left"/>
        <w:textAlignment w:val="auto"/>
        <w:rPr>
          <w:rFonts w:ascii="宋体" w:hAnsi="宋体" w:cs="宋体"/>
          <w:color w:val="auto"/>
          <w:kern w:val="0"/>
          <w:sz w:val="24"/>
          <w:highlight w:val="none"/>
        </w:rPr>
      </w:pPr>
      <w:r>
        <w:rPr>
          <w:rFonts w:hint="eastAsia" w:ascii="宋体" w:hAnsi="宋体" w:cs="宋体"/>
          <w:b/>
          <w:bCs/>
          <w:color w:val="auto"/>
          <w:kern w:val="0"/>
          <w:sz w:val="24"/>
          <w:highlight w:val="none"/>
        </w:rPr>
        <w:t>五、供应商资格要求：</w:t>
      </w:r>
    </w:p>
    <w:p w14:paraId="26CB9932">
      <w:pPr>
        <w:widowControl/>
        <w:adjustRightInd w:val="0"/>
        <w:snapToGrid w:val="0"/>
        <w:spacing w:line="56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lang w:eastAsia="zh-CN"/>
        </w:rPr>
        <w:t>参照《政府采购法》</w:t>
      </w:r>
      <w:r>
        <w:rPr>
          <w:rFonts w:ascii="宋体" w:hAnsi="宋体" w:cs="宋体"/>
          <w:color w:val="auto"/>
          <w:kern w:val="0"/>
          <w:sz w:val="24"/>
          <w:highlight w:val="none"/>
        </w:rPr>
        <w:t>第二十二条规定的条件：</w:t>
      </w:r>
    </w:p>
    <w:p w14:paraId="74F80E10">
      <w:pPr>
        <w:widowControl/>
        <w:adjustRightInd w:val="0"/>
        <w:snapToGrid w:val="0"/>
        <w:spacing w:line="56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（一）具有独立承担民事责任的能力；</w:t>
      </w:r>
    </w:p>
    <w:p w14:paraId="769EF736">
      <w:pPr>
        <w:widowControl/>
        <w:adjustRightInd w:val="0"/>
        <w:snapToGrid w:val="0"/>
        <w:spacing w:line="56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（二）具有良好的商业信誉和健全的财务会计制度；</w:t>
      </w:r>
    </w:p>
    <w:p w14:paraId="2DA7F7DC">
      <w:pPr>
        <w:widowControl/>
        <w:adjustRightInd w:val="0"/>
        <w:snapToGrid w:val="0"/>
        <w:spacing w:line="56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（三）具有履行合同所必需的设备和专业技术能力；</w:t>
      </w:r>
    </w:p>
    <w:p w14:paraId="3CEB8FAE">
      <w:pPr>
        <w:widowControl/>
        <w:adjustRightInd w:val="0"/>
        <w:snapToGrid w:val="0"/>
        <w:spacing w:line="56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（四）有依法缴纳税收和社会保障资金的良好记录；</w:t>
      </w:r>
    </w:p>
    <w:p w14:paraId="4F583855">
      <w:pPr>
        <w:widowControl/>
        <w:adjustRightInd w:val="0"/>
        <w:snapToGrid w:val="0"/>
        <w:spacing w:line="56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（五）参加政府采购活动前三年内，在经营活动中没有重大违法记录；</w:t>
      </w:r>
    </w:p>
    <w:p w14:paraId="1DBC2C22">
      <w:pPr>
        <w:widowControl/>
        <w:adjustRightInd w:val="0"/>
        <w:snapToGrid w:val="0"/>
        <w:spacing w:line="56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（六）法律、行政法规规定的其他条件。</w:t>
      </w:r>
    </w:p>
    <w:p w14:paraId="7631B763">
      <w:pPr>
        <w:widowControl/>
        <w:adjustRightInd w:val="0"/>
        <w:snapToGrid w:val="0"/>
        <w:spacing w:line="56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2、采购人可以根据采购项目的特殊要求，规定供应商的特定条件，但不得以不合理的条件对供应商实行差别待遇或者歧视待遇。</w:t>
      </w:r>
    </w:p>
    <w:p w14:paraId="207F68B5">
      <w:pPr>
        <w:widowControl/>
        <w:adjustRightInd w:val="0"/>
        <w:snapToGrid w:val="0"/>
        <w:spacing w:line="56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2.1单位负责人为同一人或者存在控股、管理关系的不同单位，不得参加同一包投标或者未分包的同一招标项目投标。</w:t>
      </w:r>
    </w:p>
    <w:p w14:paraId="5591EEAA">
      <w:pPr>
        <w:widowControl/>
        <w:adjustRightInd w:val="0"/>
        <w:snapToGrid w:val="0"/>
        <w:spacing w:line="56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2.2除单一来源采购项目外，为采购项目提供整体设计、规范编制或者项目管理、监理、检测等服务的供应商，不得再参加该采购项目的其他采购活动。</w:t>
      </w:r>
    </w:p>
    <w:p w14:paraId="7713B12B">
      <w:pPr>
        <w:widowControl/>
        <w:adjustRightInd w:val="0"/>
        <w:snapToGrid w:val="0"/>
        <w:spacing w:line="56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2.3供应商须为</w:t>
      </w:r>
      <w:r>
        <w:rPr>
          <w:rFonts w:hint="eastAsia" w:ascii="宋体" w:hAnsi="宋体" w:cs="宋体"/>
          <w:color w:val="auto"/>
          <w:kern w:val="0"/>
          <w:sz w:val="24"/>
          <w:highlight w:val="none"/>
          <w:lang w:eastAsia="zh-CN"/>
        </w:rPr>
        <w:t>国内注册具有独立承担民事责任的能力，具备有效的营业执照，能够满足采购文件的要求；并在人员、设备、资金等方面具有相应的能力</w:t>
      </w:r>
      <w:r>
        <w:rPr>
          <w:rFonts w:ascii="宋体" w:hAnsi="宋体" w:cs="宋体"/>
          <w:color w:val="auto"/>
          <w:kern w:val="0"/>
          <w:sz w:val="24"/>
          <w:highlight w:val="none"/>
        </w:rPr>
        <w:t>。</w:t>
      </w:r>
    </w:p>
    <w:p w14:paraId="2644E85C">
      <w:pPr>
        <w:widowControl/>
        <w:adjustRightInd w:val="0"/>
        <w:snapToGrid w:val="0"/>
        <w:spacing w:line="56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lang w:val="en-US" w:eastAsia="zh-CN"/>
        </w:rPr>
        <w:t>4</w:t>
      </w:r>
      <w:r>
        <w:rPr>
          <w:rFonts w:ascii="宋体" w:hAnsi="宋体" w:cs="宋体"/>
          <w:color w:val="auto"/>
          <w:kern w:val="0"/>
          <w:sz w:val="24"/>
          <w:highlight w:val="none"/>
        </w:rPr>
        <w:t>本次竞争性磋商不接受联合体。</w:t>
      </w:r>
    </w:p>
    <w:p w14:paraId="6DA2485A">
      <w:pPr>
        <w:tabs>
          <w:tab w:val="left" w:pos="315"/>
        </w:tabs>
        <w:spacing w:line="560" w:lineRule="exact"/>
        <w:ind w:right="-210" w:rightChars="-100" w:firstLine="482" w:firstLineChars="200"/>
        <w:rPr>
          <w:rFonts w:ascii="宋体" w:hAnsi="宋体" w:cs="宋体"/>
          <w:b/>
          <w:bCs/>
          <w:color w:val="auto"/>
          <w:sz w:val="24"/>
          <w:highlight w:val="none"/>
        </w:rPr>
      </w:pPr>
      <w:r>
        <w:rPr>
          <w:rFonts w:ascii="宋体" w:hAnsi="宋体" w:cs="宋体"/>
          <w:b/>
          <w:bCs/>
          <w:color w:val="auto"/>
          <w:sz w:val="24"/>
          <w:highlight w:val="none"/>
        </w:rPr>
        <w:t>2.</w:t>
      </w:r>
      <w:r>
        <w:rPr>
          <w:rFonts w:hint="eastAsia" w:ascii="宋体" w:hAnsi="宋体" w:cs="宋体"/>
          <w:b/>
          <w:bCs/>
          <w:color w:val="auto"/>
          <w:sz w:val="24"/>
          <w:highlight w:val="none"/>
          <w:lang w:val="en-US" w:eastAsia="zh-CN"/>
        </w:rPr>
        <w:t>5</w:t>
      </w:r>
      <w:r>
        <w:rPr>
          <w:rFonts w:ascii="宋体" w:hAnsi="宋体" w:cs="宋体"/>
          <w:b/>
          <w:bCs/>
          <w:color w:val="auto"/>
          <w:sz w:val="24"/>
          <w:highlight w:val="none"/>
        </w:rPr>
        <w:t>磋商响应方在递交响应文件时需同时提供：</w:t>
      </w:r>
    </w:p>
    <w:p w14:paraId="2AC3A600">
      <w:pPr>
        <w:tabs>
          <w:tab w:val="left" w:pos="315"/>
        </w:tabs>
        <w:spacing w:line="560" w:lineRule="exact"/>
        <w:ind w:right="-210" w:rightChars="-100" w:firstLine="482" w:firstLineChars="200"/>
        <w:rPr>
          <w:rFonts w:ascii="宋体" w:hAnsi="宋体" w:cs="宋体"/>
          <w:b/>
          <w:bCs/>
          <w:color w:val="auto"/>
          <w:sz w:val="24"/>
          <w:highlight w:val="none"/>
        </w:rPr>
      </w:pPr>
      <w:r>
        <w:rPr>
          <w:rFonts w:ascii="宋体" w:hAnsi="宋体" w:cs="宋体"/>
          <w:b/>
          <w:bCs/>
          <w:color w:val="auto"/>
          <w:sz w:val="24"/>
          <w:highlight w:val="none"/>
        </w:rPr>
        <w:t>2.</w:t>
      </w:r>
      <w:r>
        <w:rPr>
          <w:rFonts w:hint="eastAsia" w:ascii="宋体" w:hAnsi="宋体" w:cs="宋体"/>
          <w:b/>
          <w:bCs/>
          <w:color w:val="auto"/>
          <w:sz w:val="24"/>
          <w:highlight w:val="none"/>
          <w:lang w:val="en-US" w:eastAsia="zh-CN"/>
        </w:rPr>
        <w:t>5</w:t>
      </w:r>
      <w:r>
        <w:rPr>
          <w:rFonts w:ascii="宋体" w:hAnsi="宋体" w:cs="宋体"/>
          <w:b/>
          <w:bCs/>
          <w:color w:val="auto"/>
          <w:sz w:val="24"/>
          <w:highlight w:val="none"/>
        </w:rPr>
        <w:t>.1、本企业营业执照副本原件、法人授权委托书原件、法定代表人或授权委托人的有效身份证明原件；</w:t>
      </w:r>
    </w:p>
    <w:p w14:paraId="3E9E91E5">
      <w:pPr>
        <w:tabs>
          <w:tab w:val="left" w:pos="315"/>
        </w:tabs>
        <w:spacing w:line="560" w:lineRule="exact"/>
        <w:ind w:right="-210" w:rightChars="-100" w:firstLine="482" w:firstLineChars="200"/>
        <w:rPr>
          <w:rFonts w:ascii="宋体" w:hAnsi="宋体" w:cs="宋体"/>
          <w:b/>
          <w:bCs/>
          <w:color w:val="auto"/>
          <w:sz w:val="24"/>
          <w:highlight w:val="none"/>
        </w:rPr>
      </w:pPr>
      <w:r>
        <w:rPr>
          <w:rFonts w:ascii="宋体" w:hAnsi="宋体" w:cs="宋体"/>
          <w:b/>
          <w:bCs/>
          <w:color w:val="auto"/>
          <w:sz w:val="24"/>
          <w:highlight w:val="none"/>
        </w:rPr>
        <w:t>2.</w:t>
      </w:r>
      <w:r>
        <w:rPr>
          <w:rFonts w:hint="eastAsia" w:ascii="宋体" w:hAnsi="宋体" w:cs="宋体"/>
          <w:b/>
          <w:bCs/>
          <w:color w:val="auto"/>
          <w:sz w:val="24"/>
          <w:highlight w:val="none"/>
          <w:lang w:val="en-US" w:eastAsia="zh-CN"/>
        </w:rPr>
        <w:t>5</w:t>
      </w:r>
      <w:r>
        <w:rPr>
          <w:rFonts w:ascii="宋体" w:hAnsi="宋体" w:cs="宋体"/>
          <w:b/>
          <w:bCs/>
          <w:color w:val="auto"/>
          <w:sz w:val="24"/>
          <w:highlight w:val="none"/>
        </w:rPr>
        <w:t>.2、</w:t>
      </w:r>
      <w:r>
        <w:rPr>
          <w:rFonts w:hint="eastAsia" w:ascii="宋体" w:hAnsi="宋体" w:cs="宋体"/>
          <w:b/>
          <w:bCs/>
          <w:color w:val="auto"/>
          <w:sz w:val="24"/>
          <w:highlight w:val="none"/>
          <w:lang w:eastAsia="zh-CN"/>
        </w:rPr>
        <w:t>供应商缴纳税收和社会保障资金等证明告知承诺书</w:t>
      </w:r>
      <w:r>
        <w:rPr>
          <w:rFonts w:ascii="宋体" w:hAnsi="宋体" w:cs="宋体"/>
          <w:b/>
          <w:bCs/>
          <w:color w:val="auto"/>
          <w:sz w:val="24"/>
          <w:highlight w:val="none"/>
        </w:rPr>
        <w:t>；</w:t>
      </w:r>
    </w:p>
    <w:p w14:paraId="5968B5BF">
      <w:pPr>
        <w:keepNext w:val="0"/>
        <w:keepLines w:val="0"/>
        <w:pageBreakBefore w:val="0"/>
        <w:widowControl/>
        <w:kinsoku/>
        <w:wordWrap/>
        <w:overflowPunct/>
        <w:topLinePunct w:val="0"/>
        <w:autoSpaceDE/>
        <w:autoSpaceDN/>
        <w:bidi w:val="0"/>
        <w:adjustRightInd w:val="0"/>
        <w:snapToGrid w:val="0"/>
        <w:spacing w:line="560" w:lineRule="exact"/>
        <w:ind w:firstLine="482" w:firstLineChars="200"/>
        <w:jc w:val="left"/>
        <w:textAlignment w:val="auto"/>
        <w:rPr>
          <w:rFonts w:ascii="宋体" w:hAnsi="宋体" w:cs="宋体"/>
          <w:color w:val="auto"/>
          <w:kern w:val="0"/>
          <w:sz w:val="24"/>
          <w:highlight w:val="none"/>
        </w:rPr>
      </w:pPr>
      <w:r>
        <w:rPr>
          <w:rFonts w:ascii="宋体" w:hAnsi="宋体" w:cs="宋体"/>
          <w:b/>
          <w:bCs/>
          <w:color w:val="auto"/>
          <w:sz w:val="24"/>
          <w:highlight w:val="none"/>
        </w:rPr>
        <w:t>注：以上（2.</w:t>
      </w:r>
      <w:r>
        <w:rPr>
          <w:rFonts w:hint="eastAsia" w:ascii="宋体" w:hAnsi="宋体" w:cs="宋体"/>
          <w:b/>
          <w:bCs/>
          <w:color w:val="auto"/>
          <w:sz w:val="24"/>
          <w:highlight w:val="none"/>
          <w:lang w:val="en-US" w:eastAsia="zh-CN"/>
        </w:rPr>
        <w:t>5</w:t>
      </w:r>
      <w:r>
        <w:rPr>
          <w:rFonts w:ascii="宋体" w:hAnsi="宋体" w:cs="宋体"/>
          <w:b/>
          <w:bCs/>
          <w:color w:val="auto"/>
          <w:sz w:val="24"/>
          <w:highlight w:val="none"/>
        </w:rPr>
        <w:t>.1-2.</w:t>
      </w:r>
      <w:r>
        <w:rPr>
          <w:rFonts w:hint="eastAsia" w:ascii="宋体" w:hAnsi="宋体" w:cs="宋体"/>
          <w:b/>
          <w:bCs/>
          <w:color w:val="auto"/>
          <w:sz w:val="24"/>
          <w:highlight w:val="none"/>
          <w:lang w:val="en-US" w:eastAsia="zh-CN"/>
        </w:rPr>
        <w:t>5</w:t>
      </w:r>
      <w:r>
        <w:rPr>
          <w:rFonts w:ascii="宋体" w:hAnsi="宋体" w:cs="宋体"/>
          <w:b/>
          <w:bCs/>
          <w:color w:val="auto"/>
          <w:sz w:val="24"/>
          <w:highlight w:val="none"/>
        </w:rPr>
        <w:t>.2）证件，公证机关公证的有关证件的有效公证件原件视为与原件具有同等法律效力。未提供或未按要求提供原件的，按无效磋商响应文件处理。磋商响应方必须将上述资格证件单独包装，在递交响应文件时一并提交，否则将做无效响应文件处理。磋商响应方还应将涉及到评分标准里需要磋商小组验证的相关证明材料原件与上述资格证件统一包装，在递交磋商响应文件时一并提交。</w:t>
      </w:r>
    </w:p>
    <w:p w14:paraId="3DC43CE8">
      <w:pPr>
        <w:keepNext w:val="0"/>
        <w:keepLines w:val="0"/>
        <w:pageBreakBefore w:val="0"/>
        <w:widowControl/>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cs="宋体"/>
          <w:b/>
          <w:bCs/>
          <w:color w:val="auto"/>
          <w:kern w:val="0"/>
          <w:sz w:val="24"/>
          <w:highlight w:val="none"/>
          <w:lang w:eastAsia="zh-CN"/>
        </w:rPr>
        <w:t>六</w:t>
      </w:r>
      <w:r>
        <w:rPr>
          <w:rFonts w:ascii="宋体" w:hAnsi="宋体" w:cs="宋体"/>
          <w:b/>
          <w:bCs/>
          <w:color w:val="auto"/>
          <w:kern w:val="0"/>
          <w:sz w:val="24"/>
          <w:highlight w:val="none"/>
        </w:rPr>
        <w:t>、获取磋商文件</w:t>
      </w:r>
      <w:r>
        <w:rPr>
          <w:rFonts w:hint="eastAsia" w:ascii="宋体" w:hAnsi="宋体" w:cs="宋体"/>
          <w:b/>
          <w:bCs/>
          <w:color w:val="auto"/>
          <w:kern w:val="0"/>
          <w:sz w:val="24"/>
          <w:highlight w:val="none"/>
          <w:lang w:eastAsia="zh-CN"/>
        </w:rPr>
        <w:t>：</w:t>
      </w:r>
    </w:p>
    <w:p w14:paraId="715013E9">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1.时间：</w:t>
      </w:r>
      <w:r>
        <w:rPr>
          <w:rFonts w:hint="eastAsia" w:ascii="宋体" w:hAnsi="宋体" w:cs="宋体"/>
          <w:color w:val="auto"/>
          <w:kern w:val="0"/>
          <w:sz w:val="24"/>
          <w:highlight w:val="none"/>
          <w:lang w:eastAsia="zh-CN"/>
        </w:rPr>
        <w:t>2025年</w:t>
      </w:r>
      <w:r>
        <w:rPr>
          <w:rFonts w:hint="eastAsia" w:ascii="宋体" w:hAnsi="宋体" w:cs="宋体"/>
          <w:color w:val="auto"/>
          <w:kern w:val="0"/>
          <w:sz w:val="24"/>
          <w:highlight w:val="none"/>
          <w:lang w:val="en-US" w:eastAsia="zh-CN"/>
        </w:rPr>
        <w:t>07</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17</w:t>
      </w:r>
      <w:r>
        <w:rPr>
          <w:rFonts w:hint="eastAsia" w:ascii="宋体" w:hAnsi="宋体" w:cs="宋体"/>
          <w:color w:val="auto"/>
          <w:kern w:val="0"/>
          <w:sz w:val="24"/>
          <w:highlight w:val="none"/>
        </w:rPr>
        <w:t>日 至</w:t>
      </w:r>
      <w:r>
        <w:rPr>
          <w:rFonts w:hint="eastAsia" w:ascii="宋体" w:hAnsi="宋体" w:cs="宋体"/>
          <w:color w:val="auto"/>
          <w:kern w:val="0"/>
          <w:sz w:val="24"/>
          <w:highlight w:val="none"/>
          <w:lang w:eastAsia="zh-CN"/>
        </w:rPr>
        <w:t>2025年07月28日09时30分</w:t>
      </w:r>
      <w:r>
        <w:rPr>
          <w:rFonts w:hint="eastAsia" w:ascii="宋体" w:hAnsi="宋体" w:cs="宋体"/>
          <w:color w:val="auto"/>
          <w:kern w:val="0"/>
          <w:sz w:val="24"/>
          <w:highlight w:val="none"/>
        </w:rPr>
        <w:t>（北京时间）</w:t>
      </w:r>
    </w:p>
    <w:p w14:paraId="1398ED12">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2.地点：邹城市外宣网(http://www.mencius.gov.cn/)</w:t>
      </w:r>
    </w:p>
    <w:p w14:paraId="199F3590">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3.磋商文件的获取方式：登录邹城市外宣网(http://www.mencius.gov.cn/)-乡镇采购直接点击公告下方附件下载竞争性磋商文件。</w:t>
      </w:r>
    </w:p>
    <w:p w14:paraId="1931ADCB">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4.售价：0元。</w:t>
      </w:r>
    </w:p>
    <w:p w14:paraId="0484E8FA">
      <w:pPr>
        <w:keepNext w:val="0"/>
        <w:keepLines w:val="0"/>
        <w:pageBreakBefore w:val="0"/>
        <w:widowControl/>
        <w:kinsoku/>
        <w:wordWrap/>
        <w:overflowPunct/>
        <w:topLinePunct w:val="0"/>
        <w:autoSpaceDE/>
        <w:autoSpaceDN/>
        <w:bidi w:val="0"/>
        <w:adjustRightInd w:val="0"/>
        <w:snapToGrid w:val="0"/>
        <w:spacing w:line="560" w:lineRule="exact"/>
        <w:ind w:firstLine="482" w:firstLineChars="200"/>
        <w:jc w:val="left"/>
        <w:textAlignment w:val="auto"/>
        <w:rPr>
          <w:rFonts w:ascii="宋体" w:hAnsi="宋体" w:cs="宋体"/>
          <w:color w:val="auto"/>
          <w:kern w:val="0"/>
          <w:sz w:val="24"/>
          <w:highlight w:val="none"/>
          <w:lang w:val="zh-CN"/>
        </w:rPr>
      </w:pPr>
      <w:r>
        <w:rPr>
          <w:rFonts w:hint="eastAsia" w:ascii="宋体" w:hAnsi="宋体" w:cs="宋体"/>
          <w:b/>
          <w:bCs/>
          <w:color w:val="auto"/>
          <w:kern w:val="0"/>
          <w:sz w:val="24"/>
          <w:highlight w:val="none"/>
          <w:lang w:val="zh-CN"/>
        </w:rPr>
        <w:t>七</w:t>
      </w:r>
      <w:r>
        <w:rPr>
          <w:rFonts w:ascii="宋体" w:hAnsi="宋体" w:cs="宋体"/>
          <w:b/>
          <w:bCs/>
          <w:color w:val="auto"/>
          <w:kern w:val="0"/>
          <w:sz w:val="24"/>
          <w:highlight w:val="none"/>
          <w:lang w:val="zh-CN"/>
        </w:rPr>
        <w:t>、递交纸质响应文件时间及地点</w:t>
      </w:r>
      <w:r>
        <w:rPr>
          <w:rFonts w:hint="eastAsia" w:ascii="宋体" w:hAnsi="宋体" w:cs="宋体"/>
          <w:b/>
          <w:bCs/>
          <w:color w:val="auto"/>
          <w:kern w:val="0"/>
          <w:sz w:val="24"/>
          <w:highlight w:val="none"/>
          <w:lang w:val="zh-CN"/>
        </w:rPr>
        <w:t>：</w:t>
      </w:r>
    </w:p>
    <w:p w14:paraId="79E45FAC">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jc w:val="left"/>
        <w:textAlignment w:val="auto"/>
        <w:rPr>
          <w:rFonts w:ascii="宋体" w:hAnsi="宋体" w:cs="宋体"/>
          <w:color w:val="auto"/>
          <w:kern w:val="0"/>
          <w:sz w:val="24"/>
          <w:highlight w:val="none"/>
          <w:lang w:val="zh-CN"/>
        </w:rPr>
      </w:pPr>
      <w:r>
        <w:rPr>
          <w:rFonts w:ascii="宋体" w:hAnsi="宋体" w:cs="宋体"/>
          <w:color w:val="auto"/>
          <w:kern w:val="0"/>
          <w:sz w:val="24"/>
          <w:highlight w:val="none"/>
          <w:lang w:val="zh-CN"/>
        </w:rPr>
        <w:t>1.时间：</w:t>
      </w:r>
      <w:r>
        <w:rPr>
          <w:rFonts w:hint="eastAsia" w:ascii="宋体" w:hAnsi="宋体" w:cs="宋体"/>
          <w:color w:val="auto"/>
          <w:kern w:val="0"/>
          <w:sz w:val="24"/>
          <w:highlight w:val="none"/>
          <w:lang w:eastAsia="zh-CN"/>
        </w:rPr>
        <w:t>2025年07月</w:t>
      </w:r>
      <w:r>
        <w:rPr>
          <w:rFonts w:hint="eastAsia" w:ascii="宋体" w:hAnsi="宋体" w:cs="宋体"/>
          <w:color w:val="auto"/>
          <w:kern w:val="0"/>
          <w:sz w:val="24"/>
          <w:highlight w:val="none"/>
          <w:lang w:val="en-US" w:eastAsia="zh-CN"/>
        </w:rPr>
        <w:t>28</w:t>
      </w:r>
      <w:r>
        <w:rPr>
          <w:rFonts w:hint="eastAsia" w:ascii="宋体" w:hAnsi="宋体" w:cs="宋体"/>
          <w:color w:val="auto"/>
          <w:kern w:val="0"/>
          <w:sz w:val="24"/>
          <w:highlight w:val="none"/>
          <w:lang w:eastAsia="zh-CN"/>
        </w:rPr>
        <w:t>日09时</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lang w:eastAsia="zh-CN"/>
        </w:rPr>
        <w:t>0分</w:t>
      </w:r>
      <w:r>
        <w:rPr>
          <w:rFonts w:hint="eastAsia" w:ascii="宋体" w:hAnsi="宋体" w:cs="宋体"/>
          <w:color w:val="auto"/>
          <w:kern w:val="0"/>
          <w:sz w:val="24"/>
          <w:highlight w:val="none"/>
        </w:rPr>
        <w:t xml:space="preserve"> 至</w:t>
      </w:r>
      <w:r>
        <w:rPr>
          <w:rFonts w:hint="eastAsia" w:ascii="宋体" w:hAnsi="宋体" w:cs="宋体"/>
          <w:color w:val="auto"/>
          <w:kern w:val="0"/>
          <w:sz w:val="24"/>
          <w:highlight w:val="none"/>
          <w:lang w:eastAsia="zh-CN"/>
        </w:rPr>
        <w:t>2025年07月28日09时30分</w:t>
      </w:r>
      <w:r>
        <w:rPr>
          <w:rFonts w:ascii="宋体" w:hAnsi="宋体" w:cs="宋体"/>
          <w:color w:val="auto"/>
          <w:kern w:val="0"/>
          <w:sz w:val="24"/>
          <w:highlight w:val="none"/>
          <w:lang w:val="zh-CN"/>
        </w:rPr>
        <w:t>（北京时间）</w:t>
      </w:r>
    </w:p>
    <w:p w14:paraId="79E2A574">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jc w:val="left"/>
        <w:textAlignment w:val="auto"/>
        <w:rPr>
          <w:rFonts w:ascii="宋体" w:hAnsi="宋体" w:cs="宋体"/>
          <w:color w:val="auto"/>
          <w:kern w:val="0"/>
          <w:sz w:val="24"/>
          <w:highlight w:val="none"/>
          <w:lang w:val="zh-CN"/>
        </w:rPr>
      </w:pPr>
      <w:r>
        <w:rPr>
          <w:rFonts w:ascii="宋体" w:hAnsi="宋体" w:cs="宋体"/>
          <w:color w:val="auto"/>
          <w:kern w:val="0"/>
          <w:sz w:val="24"/>
          <w:highlight w:val="none"/>
          <w:lang w:val="zh-CN"/>
        </w:rPr>
        <w:t>2.地点：</w:t>
      </w:r>
      <w:r>
        <w:rPr>
          <w:rFonts w:hint="eastAsia" w:ascii="宋体" w:hAnsi="宋体" w:cs="宋体"/>
          <w:color w:val="auto"/>
          <w:kern w:val="0"/>
          <w:sz w:val="24"/>
          <w:highlight w:val="none"/>
          <w:lang w:val="zh-CN"/>
        </w:rPr>
        <w:t>邹城市钢山街道公共资源交易中心开标室</w:t>
      </w:r>
    </w:p>
    <w:p w14:paraId="48D92601">
      <w:pPr>
        <w:keepNext w:val="0"/>
        <w:keepLines w:val="0"/>
        <w:pageBreakBefore w:val="0"/>
        <w:widowControl/>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cs="宋体"/>
          <w:b/>
          <w:bCs/>
          <w:color w:val="auto"/>
          <w:kern w:val="0"/>
          <w:sz w:val="24"/>
          <w:highlight w:val="none"/>
          <w:lang w:eastAsia="zh-CN"/>
        </w:rPr>
        <w:t>八</w:t>
      </w:r>
      <w:r>
        <w:rPr>
          <w:rFonts w:ascii="宋体" w:hAnsi="宋体" w:cs="宋体"/>
          <w:b/>
          <w:bCs/>
          <w:color w:val="auto"/>
          <w:kern w:val="0"/>
          <w:sz w:val="24"/>
          <w:highlight w:val="none"/>
        </w:rPr>
        <w:t>、磋商时间及地点</w:t>
      </w:r>
      <w:r>
        <w:rPr>
          <w:rFonts w:hint="eastAsia" w:ascii="宋体" w:hAnsi="宋体" w:cs="宋体"/>
          <w:b/>
          <w:bCs/>
          <w:color w:val="auto"/>
          <w:kern w:val="0"/>
          <w:sz w:val="24"/>
          <w:highlight w:val="none"/>
          <w:lang w:eastAsia="zh-CN"/>
        </w:rPr>
        <w:t>：</w:t>
      </w:r>
    </w:p>
    <w:p w14:paraId="2E2B7781">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jc w:val="left"/>
        <w:textAlignment w:val="auto"/>
        <w:rPr>
          <w:rFonts w:ascii="宋体" w:hAnsi="宋体" w:cs="宋体"/>
          <w:color w:val="auto"/>
          <w:kern w:val="0"/>
          <w:sz w:val="24"/>
          <w:highlight w:val="none"/>
          <w:lang w:val="zh-CN"/>
        </w:rPr>
      </w:pPr>
      <w:r>
        <w:rPr>
          <w:rFonts w:ascii="宋体" w:hAnsi="宋体" w:cs="宋体"/>
          <w:color w:val="auto"/>
          <w:kern w:val="0"/>
          <w:sz w:val="24"/>
          <w:highlight w:val="none"/>
          <w:lang w:val="zh-CN"/>
        </w:rPr>
        <w:t>1.时间：</w:t>
      </w:r>
      <w:r>
        <w:rPr>
          <w:rFonts w:hint="eastAsia" w:ascii="宋体" w:hAnsi="宋体" w:cs="宋体"/>
          <w:color w:val="auto"/>
          <w:kern w:val="0"/>
          <w:sz w:val="24"/>
          <w:highlight w:val="none"/>
          <w:lang w:val="zh-CN"/>
        </w:rPr>
        <w:t>2025年07月28日09时30分</w:t>
      </w:r>
      <w:r>
        <w:rPr>
          <w:rFonts w:ascii="宋体" w:hAnsi="宋体" w:cs="宋体"/>
          <w:color w:val="auto"/>
          <w:kern w:val="0"/>
          <w:sz w:val="24"/>
          <w:highlight w:val="none"/>
          <w:lang w:val="zh-CN"/>
        </w:rPr>
        <w:t>（北京时间）</w:t>
      </w:r>
    </w:p>
    <w:p w14:paraId="64E037E4">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jc w:val="left"/>
        <w:textAlignment w:val="auto"/>
        <w:rPr>
          <w:rFonts w:ascii="宋体" w:hAnsi="宋体" w:cs="宋体"/>
          <w:color w:val="auto"/>
          <w:kern w:val="0"/>
          <w:sz w:val="24"/>
          <w:highlight w:val="none"/>
          <w:lang w:val="zh-CN"/>
        </w:rPr>
      </w:pPr>
      <w:r>
        <w:rPr>
          <w:rFonts w:ascii="宋体" w:hAnsi="宋体" w:cs="宋体"/>
          <w:color w:val="auto"/>
          <w:kern w:val="0"/>
          <w:sz w:val="24"/>
          <w:highlight w:val="none"/>
          <w:lang w:val="zh-CN"/>
        </w:rPr>
        <w:t>2.地点：</w:t>
      </w:r>
      <w:r>
        <w:rPr>
          <w:rFonts w:hint="eastAsia" w:ascii="宋体" w:hAnsi="宋体" w:cs="宋体"/>
          <w:color w:val="auto"/>
          <w:kern w:val="0"/>
          <w:sz w:val="24"/>
          <w:highlight w:val="none"/>
          <w:lang w:val="zh-CN"/>
        </w:rPr>
        <w:t>邹城市钢山街道公共资源交易中心开标室</w:t>
      </w:r>
    </w:p>
    <w:p w14:paraId="20F2D319">
      <w:pPr>
        <w:keepNext w:val="0"/>
        <w:keepLines w:val="0"/>
        <w:pageBreakBefore w:val="0"/>
        <w:widowControl/>
        <w:kinsoku/>
        <w:wordWrap/>
        <w:overflowPunct/>
        <w:topLinePunct w:val="0"/>
        <w:autoSpaceDE/>
        <w:autoSpaceDN/>
        <w:bidi w:val="0"/>
        <w:adjustRightInd w:val="0"/>
        <w:snapToGrid w:val="0"/>
        <w:spacing w:line="560" w:lineRule="exact"/>
        <w:ind w:firstLine="482" w:firstLineChars="200"/>
        <w:jc w:val="left"/>
        <w:textAlignment w:val="auto"/>
        <w:rPr>
          <w:rFonts w:ascii="宋体" w:hAnsi="宋体" w:cs="宋体"/>
          <w:color w:val="auto"/>
          <w:kern w:val="0"/>
          <w:sz w:val="24"/>
          <w:highlight w:val="none"/>
        </w:rPr>
      </w:pPr>
      <w:r>
        <w:rPr>
          <w:rFonts w:hint="eastAsia" w:ascii="宋体" w:hAnsi="宋体" w:cs="宋体"/>
          <w:b/>
          <w:bCs/>
          <w:color w:val="auto"/>
          <w:kern w:val="0"/>
          <w:sz w:val="24"/>
          <w:highlight w:val="none"/>
        </w:rPr>
        <w:t>九、联系方式：</w:t>
      </w:r>
    </w:p>
    <w:p w14:paraId="795A7BE5">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采 购 人：</w:t>
      </w:r>
      <w:r>
        <w:rPr>
          <w:rFonts w:hint="eastAsia" w:ascii="宋体" w:hAnsi="宋体" w:cs="宋体"/>
          <w:color w:val="auto"/>
          <w:kern w:val="0"/>
          <w:sz w:val="24"/>
          <w:highlight w:val="none"/>
          <w:lang w:eastAsia="zh-CN"/>
        </w:rPr>
        <w:t>邹城市钢山街道龙山社区居民委员会</w:t>
      </w:r>
    </w:p>
    <w:p w14:paraId="1AC60504">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地    址：</w:t>
      </w:r>
      <w:r>
        <w:rPr>
          <w:rFonts w:hint="eastAsia" w:ascii="宋体" w:hAnsi="宋体" w:cs="宋体"/>
          <w:color w:val="auto"/>
          <w:kern w:val="0"/>
          <w:sz w:val="24"/>
          <w:highlight w:val="none"/>
          <w:lang w:eastAsia="zh-CN"/>
        </w:rPr>
        <w:t>邹城市龙山北路</w:t>
      </w:r>
    </w:p>
    <w:p w14:paraId="3C0AD6B9">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联 系 人：</w:t>
      </w:r>
      <w:r>
        <w:rPr>
          <w:rFonts w:hint="eastAsia" w:ascii="宋体" w:hAnsi="宋体" w:cs="宋体"/>
          <w:color w:val="auto"/>
          <w:kern w:val="0"/>
          <w:sz w:val="24"/>
          <w:highlight w:val="none"/>
          <w:lang w:eastAsia="zh-CN"/>
        </w:rPr>
        <w:t>王主任</w:t>
      </w:r>
    </w:p>
    <w:p w14:paraId="7A06F7B4">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cs="宋体"/>
          <w:bCs/>
          <w:color w:val="000000"/>
          <w:sz w:val="24"/>
          <w:highlight w:val="none"/>
          <w:lang w:bidi="ar"/>
        </w:rPr>
      </w:pPr>
      <w:r>
        <w:rPr>
          <w:rFonts w:hint="eastAsia" w:ascii="宋体" w:hAnsi="宋体" w:cs="宋体"/>
          <w:color w:val="auto"/>
          <w:kern w:val="0"/>
          <w:sz w:val="24"/>
          <w:highlight w:val="none"/>
        </w:rPr>
        <w:t>联系电话：</w:t>
      </w:r>
      <w:r>
        <w:rPr>
          <w:rFonts w:hint="eastAsia" w:ascii="宋体" w:hAnsi="宋体" w:cs="宋体"/>
          <w:color w:val="auto"/>
          <w:kern w:val="0"/>
          <w:sz w:val="24"/>
          <w:highlight w:val="none"/>
          <w:lang w:eastAsia="zh-CN"/>
        </w:rPr>
        <w:t>18053725683</w:t>
      </w:r>
    </w:p>
    <w:p w14:paraId="2D3AEDF3">
      <w:pPr>
        <w:keepNext w:val="0"/>
        <w:keepLines w:val="0"/>
        <w:pageBreakBefore w:val="0"/>
        <w:widowControl w:val="0"/>
        <w:kinsoku/>
        <w:wordWrap/>
        <w:overflowPunct/>
        <w:topLinePunct w:val="0"/>
        <w:autoSpaceDE/>
        <w:autoSpaceDN/>
        <w:bidi w:val="0"/>
        <w:adjustRightInd/>
        <w:snapToGrid/>
        <w:spacing w:before="147" w:beforeLines="50" w:line="360" w:lineRule="auto"/>
        <w:ind w:firstLine="480" w:firstLineChars="200"/>
        <w:textAlignment w:val="auto"/>
        <w:rPr>
          <w:rFonts w:hint="eastAsia" w:ascii="宋体" w:hAnsi="宋体" w:eastAsia="宋体" w:cs="宋体"/>
          <w:bCs/>
          <w:color w:val="000000"/>
          <w:sz w:val="24"/>
          <w:highlight w:val="none"/>
          <w:lang w:eastAsia="zh-CN" w:bidi="ar"/>
        </w:rPr>
      </w:pPr>
      <w:r>
        <w:rPr>
          <w:rFonts w:hint="eastAsia" w:ascii="宋体" w:hAnsi="宋体" w:cs="宋体"/>
          <w:bCs/>
          <w:color w:val="000000"/>
          <w:sz w:val="24"/>
          <w:highlight w:val="none"/>
          <w:lang w:bidi="ar"/>
        </w:rPr>
        <w:t>代理机构：</w:t>
      </w:r>
      <w:r>
        <w:rPr>
          <w:rFonts w:hint="eastAsia" w:ascii="宋体" w:hAnsi="宋体" w:cs="宋体"/>
          <w:bCs/>
          <w:color w:val="000000"/>
          <w:sz w:val="24"/>
          <w:highlight w:val="none"/>
          <w:lang w:eastAsia="zh-CN" w:bidi="ar"/>
        </w:rPr>
        <w:t>济宁志合工程咨询有限公司</w:t>
      </w:r>
    </w:p>
    <w:p w14:paraId="42540C50">
      <w:pPr>
        <w:spacing w:line="360" w:lineRule="auto"/>
        <w:ind w:firstLine="480" w:firstLineChars="200"/>
        <w:rPr>
          <w:rFonts w:hint="eastAsia" w:ascii="宋体" w:hAnsi="宋体" w:eastAsia="宋体" w:cs="宋体"/>
          <w:bCs/>
          <w:color w:val="000000"/>
          <w:sz w:val="24"/>
          <w:highlight w:val="none"/>
          <w:lang w:eastAsia="zh-CN" w:bidi="ar"/>
        </w:rPr>
      </w:pPr>
      <w:r>
        <w:rPr>
          <w:rFonts w:hint="eastAsia" w:ascii="宋体" w:hAnsi="宋体" w:cs="宋体"/>
          <w:bCs/>
          <w:color w:val="000000"/>
          <w:sz w:val="24"/>
          <w:highlight w:val="none"/>
          <w:lang w:bidi="ar"/>
        </w:rPr>
        <w:t xml:space="preserve">地   </w:t>
      </w:r>
      <w:r>
        <w:rPr>
          <w:rFonts w:hint="eastAsia" w:ascii="宋体" w:hAnsi="宋体" w:cs="宋体"/>
          <w:bCs/>
          <w:color w:val="000000"/>
          <w:sz w:val="24"/>
          <w:highlight w:val="none"/>
          <w:lang w:val="en-US" w:eastAsia="zh-CN" w:bidi="ar"/>
        </w:rPr>
        <w:t xml:space="preserve"> </w:t>
      </w:r>
      <w:r>
        <w:rPr>
          <w:rFonts w:hint="eastAsia" w:ascii="宋体" w:hAnsi="宋体" w:cs="宋体"/>
          <w:bCs/>
          <w:color w:val="000000"/>
          <w:sz w:val="24"/>
          <w:highlight w:val="none"/>
          <w:lang w:bidi="ar"/>
        </w:rPr>
        <w:t>址：</w:t>
      </w:r>
      <w:r>
        <w:rPr>
          <w:rFonts w:hint="eastAsia" w:ascii="宋体" w:hAnsi="宋体" w:cs="宋体"/>
          <w:bCs/>
          <w:color w:val="000000"/>
          <w:sz w:val="24"/>
          <w:highlight w:val="none"/>
          <w:lang w:eastAsia="zh-CN" w:bidi="ar"/>
        </w:rPr>
        <w:t>邹城市双创园区昊宇大厦A座八楼</w:t>
      </w:r>
    </w:p>
    <w:p w14:paraId="12DE0A0A">
      <w:pPr>
        <w:spacing w:line="360" w:lineRule="auto"/>
        <w:ind w:firstLine="480" w:firstLineChars="200"/>
        <w:rPr>
          <w:rFonts w:hint="eastAsia" w:ascii="宋体" w:hAnsi="宋体" w:eastAsia="宋体" w:cs="宋体"/>
          <w:bCs/>
          <w:color w:val="000000"/>
          <w:sz w:val="24"/>
          <w:highlight w:val="none"/>
          <w:lang w:eastAsia="zh-CN" w:bidi="ar"/>
        </w:rPr>
      </w:pPr>
      <w:r>
        <w:rPr>
          <w:rFonts w:hint="eastAsia" w:ascii="宋体" w:hAnsi="宋体" w:cs="宋体"/>
          <w:bCs/>
          <w:color w:val="000000"/>
          <w:sz w:val="24"/>
          <w:highlight w:val="none"/>
          <w:lang w:bidi="ar"/>
        </w:rPr>
        <w:t>联 系</w:t>
      </w:r>
      <w:r>
        <w:rPr>
          <w:rFonts w:hint="eastAsia" w:ascii="宋体" w:hAnsi="宋体" w:cs="宋体"/>
          <w:bCs/>
          <w:color w:val="000000"/>
          <w:sz w:val="24"/>
          <w:highlight w:val="none"/>
          <w:lang w:val="en-US" w:eastAsia="zh-CN" w:bidi="ar"/>
        </w:rPr>
        <w:t xml:space="preserve"> </w:t>
      </w:r>
      <w:r>
        <w:rPr>
          <w:rFonts w:hint="eastAsia" w:ascii="宋体" w:hAnsi="宋体" w:cs="宋体"/>
          <w:bCs/>
          <w:color w:val="000000"/>
          <w:sz w:val="24"/>
          <w:highlight w:val="none"/>
          <w:lang w:bidi="ar"/>
        </w:rPr>
        <w:t>人：</w:t>
      </w:r>
      <w:r>
        <w:rPr>
          <w:rFonts w:hint="eastAsia" w:ascii="宋体" w:hAnsi="宋体" w:cs="宋体"/>
          <w:bCs/>
          <w:color w:val="000000"/>
          <w:sz w:val="24"/>
          <w:highlight w:val="none"/>
          <w:lang w:eastAsia="zh-CN" w:bidi="ar"/>
        </w:rPr>
        <w:t>高德鑫</w:t>
      </w:r>
    </w:p>
    <w:p w14:paraId="36471EE2">
      <w:pPr>
        <w:spacing w:line="360" w:lineRule="auto"/>
        <w:ind w:firstLine="480" w:firstLineChars="200"/>
        <w:rPr>
          <w:rFonts w:hint="eastAsia" w:ascii="宋体" w:hAnsi="宋体" w:eastAsia="宋体" w:cs="宋体"/>
          <w:bCs/>
          <w:color w:val="000000"/>
          <w:sz w:val="24"/>
          <w:highlight w:val="none"/>
          <w:lang w:eastAsia="zh-CN" w:bidi="ar"/>
        </w:rPr>
      </w:pPr>
      <w:r>
        <w:rPr>
          <w:rFonts w:hint="eastAsia" w:ascii="宋体" w:hAnsi="宋体" w:cs="宋体"/>
          <w:bCs/>
          <w:color w:val="000000"/>
          <w:sz w:val="24"/>
          <w:highlight w:val="none"/>
          <w:lang w:bidi="ar"/>
        </w:rPr>
        <w:t>联系电话：</w:t>
      </w:r>
      <w:r>
        <w:rPr>
          <w:rFonts w:hint="eastAsia" w:ascii="宋体" w:hAnsi="宋体" w:cs="宋体"/>
          <w:bCs/>
          <w:color w:val="000000"/>
          <w:sz w:val="24"/>
          <w:highlight w:val="none"/>
          <w:lang w:eastAsia="zh-CN" w:bidi="ar"/>
        </w:rPr>
        <w:t>15054773787</w:t>
      </w:r>
    </w:p>
    <w:p w14:paraId="65180C1C">
      <w:pPr>
        <w:spacing w:line="360" w:lineRule="auto"/>
        <w:ind w:firstLine="480" w:firstLineChars="200"/>
        <w:rPr>
          <w:rFonts w:hint="eastAsia" w:ascii="宋体" w:hAnsi="宋体" w:eastAsia="宋体" w:cs="宋体"/>
          <w:bCs/>
          <w:color w:val="000000"/>
          <w:sz w:val="24"/>
          <w:highlight w:val="none"/>
          <w:lang w:eastAsia="zh-CN" w:bidi="ar"/>
        </w:rPr>
      </w:pPr>
      <w:r>
        <w:rPr>
          <w:rFonts w:hint="eastAsia" w:ascii="宋体" w:hAnsi="宋体" w:cs="宋体"/>
          <w:bCs/>
          <w:color w:val="000000"/>
          <w:sz w:val="24"/>
          <w:highlight w:val="none"/>
          <w:lang w:bidi="ar"/>
        </w:rPr>
        <w:t>电子邮箱：</w:t>
      </w:r>
      <w:r>
        <w:rPr>
          <w:rFonts w:hint="eastAsia" w:ascii="宋体" w:hAnsi="宋体" w:cs="宋体"/>
          <w:bCs/>
          <w:color w:val="000000"/>
          <w:sz w:val="24"/>
          <w:highlight w:val="none"/>
          <w:lang w:eastAsia="zh-CN" w:bidi="ar"/>
        </w:rPr>
        <w:t>a15953732018@163.com</w:t>
      </w:r>
    </w:p>
    <w:p w14:paraId="1D6AF8E9">
      <w:pPr>
        <w:keepNext w:val="0"/>
        <w:keepLines w:val="0"/>
        <w:pageBreakBefore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cs="宋体"/>
          <w:color w:val="auto"/>
          <w:kern w:val="0"/>
          <w:sz w:val="24"/>
          <w:highlight w:val="none"/>
          <w:lang w:val="zh-CN"/>
        </w:rPr>
      </w:pPr>
      <w:r>
        <w:rPr>
          <w:rFonts w:hint="eastAsia" w:ascii="宋体" w:hAnsi="宋体" w:cs="宋体"/>
          <w:b/>
          <w:bCs/>
          <w:color w:val="auto"/>
          <w:kern w:val="0"/>
          <w:sz w:val="24"/>
          <w:highlight w:val="none"/>
          <w:lang w:eastAsia="zh-CN"/>
        </w:rPr>
        <w:t>十</w:t>
      </w:r>
      <w:r>
        <w:rPr>
          <w:rFonts w:ascii="宋体" w:hAnsi="宋体" w:cs="宋体"/>
          <w:b/>
          <w:bCs/>
          <w:color w:val="auto"/>
          <w:kern w:val="0"/>
          <w:sz w:val="24"/>
          <w:highlight w:val="none"/>
        </w:rPr>
        <w:t>、</w:t>
      </w:r>
      <w:r>
        <w:rPr>
          <w:rFonts w:hint="eastAsia" w:ascii="宋体" w:hAnsi="宋体" w:cs="宋体"/>
          <w:b/>
          <w:bCs/>
          <w:color w:val="auto"/>
          <w:kern w:val="0"/>
          <w:sz w:val="24"/>
          <w:highlight w:val="none"/>
          <w:lang w:val="zh-CN"/>
        </w:rPr>
        <w:t>重要说明</w:t>
      </w:r>
    </w:p>
    <w:p w14:paraId="117B3D40">
      <w:pPr>
        <w:keepNext w:val="0"/>
        <w:keepLines w:val="0"/>
        <w:pageBreakBefore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竞争性磋商文件一经在邹城市外宣网(http://www.mencius.gov.cn/)发布，视作已发放给所有潜在供应商（发布时间即为发出磋商文件的时间），各供应商应随时关注报名项目信息并及时在邹城市外宣网(http://www.mencius.gov.cn/)下载电子版竞争性磋商文件。否则所造成的一切后果由供应商自负。</w:t>
      </w:r>
    </w:p>
    <w:p w14:paraId="3B1B232C">
      <w:pPr>
        <w:keepNext w:val="0"/>
        <w:keepLines w:val="0"/>
        <w:pageBreakBefore w:val="0"/>
        <w:kinsoku/>
        <w:wordWrap/>
        <w:overflowPunct/>
        <w:topLinePunct w:val="0"/>
        <w:autoSpaceDE/>
        <w:autoSpaceDN/>
        <w:bidi w:val="0"/>
        <w:adjustRightInd w:val="0"/>
        <w:snapToGrid w:val="0"/>
        <w:spacing w:line="560" w:lineRule="exact"/>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2、本项目如有必要澄清和修改需要发布变更公告的，将在本网站及时发布。请各潜在供应商及时关注相关信息。同时，依据相关法律法规规定，变更公告一旦发布即视为以书面形式通知所有潜在供应商。</w:t>
      </w:r>
    </w:p>
    <w:p w14:paraId="7AF23A59">
      <w:pPr>
        <w:keepNext w:val="0"/>
        <w:keepLines w:val="0"/>
        <w:pageBreakBefore w:val="0"/>
        <w:widowControl/>
        <w:shd w:val="clear" w:color="auto" w:fill="FFFFFF"/>
        <w:kinsoku/>
        <w:wordWrap/>
        <w:overflowPunct/>
        <w:topLinePunct w:val="0"/>
        <w:autoSpaceDE/>
        <w:autoSpaceDN/>
        <w:bidi w:val="0"/>
        <w:spacing w:line="560" w:lineRule="exact"/>
        <w:textAlignment w:val="auto"/>
        <w:rPr>
          <w:rFonts w:ascii="宋体" w:hAnsi="宋体" w:cs="宋体"/>
          <w:color w:val="auto"/>
          <w:kern w:val="0"/>
          <w:sz w:val="24"/>
          <w:highlight w:val="none"/>
        </w:rPr>
      </w:pPr>
    </w:p>
    <w:p w14:paraId="4A1A91E0">
      <w:pPr>
        <w:keepNext w:val="0"/>
        <w:keepLines w:val="0"/>
        <w:pageBreakBefore w:val="0"/>
        <w:widowControl/>
        <w:shd w:val="clear" w:color="auto" w:fill="FFFFFF"/>
        <w:kinsoku/>
        <w:wordWrap/>
        <w:overflowPunct/>
        <w:topLinePunct w:val="0"/>
        <w:autoSpaceDE/>
        <w:autoSpaceDN/>
        <w:bidi w:val="0"/>
        <w:spacing w:line="560" w:lineRule="exact"/>
        <w:jc w:val="right"/>
        <w:textAlignment w:val="auto"/>
        <w:rPr>
          <w:rFonts w:ascii="宋体" w:hAnsi="宋体" w:cs="宋体"/>
          <w:color w:val="auto"/>
          <w:kern w:val="0"/>
          <w:sz w:val="24"/>
          <w:highlight w:val="none"/>
        </w:rPr>
      </w:pPr>
      <w:r>
        <w:rPr>
          <w:rFonts w:ascii="宋体" w:hAnsi="宋体" w:cs="宋体"/>
          <w:color w:val="auto"/>
          <w:kern w:val="0"/>
          <w:sz w:val="24"/>
          <w:highlight w:val="none"/>
        </w:rPr>
        <w:t>发布人：</w:t>
      </w:r>
      <w:r>
        <w:rPr>
          <w:rFonts w:hint="eastAsia" w:ascii="宋体" w:hAnsi="宋体" w:cs="宋体"/>
          <w:color w:val="auto"/>
          <w:kern w:val="0"/>
          <w:sz w:val="24"/>
          <w:highlight w:val="none"/>
          <w:lang w:eastAsia="zh-CN"/>
        </w:rPr>
        <w:t>邹城市钢山街道龙山社区居民委员会</w:t>
      </w:r>
    </w:p>
    <w:p w14:paraId="2BB843BA">
      <w:pPr>
        <w:keepNext w:val="0"/>
        <w:keepLines w:val="0"/>
        <w:pageBreakBefore w:val="0"/>
        <w:widowControl/>
        <w:shd w:val="clear" w:color="auto" w:fill="FFFFFF"/>
        <w:kinsoku/>
        <w:wordWrap/>
        <w:overflowPunct/>
        <w:topLinePunct w:val="0"/>
        <w:autoSpaceDE/>
        <w:autoSpaceDN/>
        <w:bidi w:val="0"/>
        <w:spacing w:line="560" w:lineRule="exact"/>
        <w:jc w:val="right"/>
        <w:textAlignment w:val="auto"/>
        <w:rPr>
          <w:rFonts w:hint="eastAsia" w:ascii="宋体" w:hAnsi="宋体" w:eastAsia="宋体" w:cs="宋体"/>
          <w:bCs/>
          <w:color w:val="auto"/>
          <w:kern w:val="16"/>
          <w:sz w:val="24"/>
          <w:highlight w:val="none"/>
          <w:lang w:eastAsia="zh-CN"/>
        </w:rPr>
      </w:pPr>
      <w:r>
        <w:rPr>
          <w:rFonts w:hint="eastAsia" w:ascii="宋体" w:hAnsi="宋体" w:cs="宋体"/>
          <w:bCs/>
          <w:color w:val="auto"/>
          <w:kern w:val="16"/>
          <w:sz w:val="24"/>
          <w:highlight w:val="none"/>
          <w:lang w:eastAsia="zh-CN"/>
        </w:rPr>
        <w:t>济宁志合工程咨询有限公司</w:t>
      </w:r>
    </w:p>
    <w:p w14:paraId="1F5ED3CB">
      <w:pPr>
        <w:keepNext w:val="0"/>
        <w:keepLines w:val="0"/>
        <w:pageBreakBefore w:val="0"/>
        <w:kinsoku/>
        <w:wordWrap/>
        <w:overflowPunct/>
        <w:topLinePunct w:val="0"/>
        <w:autoSpaceDE/>
        <w:autoSpaceDN/>
        <w:bidi w:val="0"/>
        <w:adjustRightInd w:val="0"/>
        <w:snapToGrid w:val="0"/>
        <w:spacing w:line="560" w:lineRule="exact"/>
        <w:jc w:val="right"/>
        <w:textAlignment w:val="auto"/>
        <w:rPr>
          <w:rFonts w:ascii="宋体" w:hAnsi="宋体" w:cs="宋体"/>
          <w:color w:val="auto"/>
          <w:sz w:val="24"/>
          <w:highlight w:val="none"/>
        </w:rPr>
        <w:sectPr>
          <w:footerReference r:id="rId12" w:type="first"/>
          <w:footerReference r:id="rId11" w:type="default"/>
          <w:pgSz w:w="11906" w:h="16838"/>
          <w:pgMar w:top="1134" w:right="1134" w:bottom="1134" w:left="1134" w:header="851" w:footer="851" w:gutter="0"/>
          <w:lnNumType w:countBy="0" w:restart="continuous"/>
          <w:cols w:space="720" w:num="1"/>
          <w:rtlGutter w:val="0"/>
          <w:docGrid w:type="lines" w:linePitch="292" w:charSpace="0"/>
        </w:sectPr>
      </w:pPr>
      <w:r>
        <w:rPr>
          <w:rFonts w:ascii="宋体" w:hAnsi="宋体" w:cs="宋体"/>
          <w:color w:val="auto"/>
          <w:sz w:val="24"/>
          <w:highlight w:val="none"/>
        </w:rPr>
        <w:t>发布时间：</w:t>
      </w:r>
      <w:r>
        <w:rPr>
          <w:rFonts w:hint="eastAsia" w:ascii="宋体" w:hAnsi="宋体" w:cs="宋体"/>
          <w:color w:val="auto"/>
          <w:sz w:val="24"/>
          <w:highlight w:val="none"/>
          <w:u w:val="none"/>
          <w:lang w:eastAsia="zh-CN"/>
        </w:rPr>
        <w:t>2025年</w:t>
      </w:r>
      <w:r>
        <w:rPr>
          <w:rFonts w:hint="eastAsia" w:ascii="宋体" w:hAnsi="宋体" w:cs="宋体"/>
          <w:color w:val="auto"/>
          <w:sz w:val="24"/>
          <w:highlight w:val="none"/>
          <w:u w:val="none"/>
          <w:lang w:val="en-US" w:eastAsia="zh-CN"/>
        </w:rPr>
        <w:t>07</w:t>
      </w:r>
      <w:r>
        <w:rPr>
          <w:rFonts w:ascii="宋体" w:hAnsi="宋体" w:cs="宋体"/>
          <w:color w:val="auto"/>
          <w:kern w:val="0"/>
          <w:sz w:val="24"/>
          <w:highlight w:val="none"/>
          <w:u w:val="none"/>
        </w:rPr>
        <w:t>月</w:t>
      </w:r>
      <w:r>
        <w:rPr>
          <w:rFonts w:hint="eastAsia" w:ascii="宋体" w:hAnsi="宋体" w:cs="宋体"/>
          <w:color w:val="auto"/>
          <w:kern w:val="0"/>
          <w:sz w:val="24"/>
          <w:highlight w:val="none"/>
          <w:u w:val="none"/>
          <w:lang w:val="en-US" w:eastAsia="zh-CN"/>
        </w:rPr>
        <w:t>17</w:t>
      </w:r>
      <w:r>
        <w:rPr>
          <w:rFonts w:ascii="宋体" w:hAnsi="宋体" w:cs="宋体"/>
          <w:color w:val="auto"/>
          <w:kern w:val="0"/>
          <w:sz w:val="24"/>
          <w:highlight w:val="none"/>
          <w:u w:val="none"/>
        </w:rPr>
        <w:t>日</w:t>
      </w:r>
    </w:p>
    <w:p w14:paraId="7F49AAA8">
      <w:pPr>
        <w:spacing w:line="560" w:lineRule="exact"/>
        <w:jc w:val="center"/>
        <w:outlineLvl w:val="0"/>
        <w:rPr>
          <w:rFonts w:ascii="宋体" w:hAnsi="宋体" w:cs="宋体"/>
          <w:b/>
          <w:color w:val="auto"/>
          <w:sz w:val="24"/>
          <w:highlight w:val="none"/>
        </w:rPr>
      </w:pPr>
      <w:bookmarkStart w:id="8" w:name="_Toc24157"/>
      <w:bookmarkStart w:id="9" w:name="_Toc16898_WPSOffice_Level1"/>
      <w:bookmarkStart w:id="10" w:name="_Toc11659838"/>
      <w:bookmarkStart w:id="11" w:name="_Toc31184"/>
      <w:r>
        <w:rPr>
          <w:rFonts w:ascii="宋体" w:hAnsi="宋体" w:cs="宋体"/>
          <w:b/>
          <w:color w:val="auto"/>
          <w:sz w:val="24"/>
          <w:highlight w:val="none"/>
        </w:rPr>
        <w:t>第二部分  磋商响应方须知及响应方须知前附表</w:t>
      </w:r>
      <w:bookmarkEnd w:id="8"/>
      <w:bookmarkEnd w:id="9"/>
      <w:bookmarkEnd w:id="10"/>
      <w:bookmarkEnd w:id="11"/>
    </w:p>
    <w:p w14:paraId="0F36E708">
      <w:pPr>
        <w:pStyle w:val="21"/>
        <w:spacing w:beforeLines="100" w:line="560" w:lineRule="exact"/>
        <w:jc w:val="center"/>
        <w:rPr>
          <w:rFonts w:hint="eastAsia" w:hAnsi="宋体" w:cs="宋体"/>
          <w:b/>
          <w:color w:val="auto"/>
          <w:highlight w:val="none"/>
        </w:rPr>
      </w:pPr>
      <w:r>
        <w:rPr>
          <w:rFonts w:hint="eastAsia" w:hAnsi="宋体" w:cs="宋体"/>
          <w:b/>
          <w:color w:val="auto"/>
          <w:highlight w:val="none"/>
        </w:rPr>
        <w:t>一、响应方须知前附表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590"/>
        <w:gridCol w:w="7304"/>
      </w:tblGrid>
      <w:tr w14:paraId="234BC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2F75F70D">
            <w:pPr>
              <w:spacing w:line="560" w:lineRule="exact"/>
              <w:jc w:val="center"/>
              <w:rPr>
                <w:rFonts w:ascii="宋体" w:hAnsi="宋体" w:cs="宋体"/>
                <w:color w:val="auto"/>
                <w:sz w:val="24"/>
                <w:highlight w:val="none"/>
              </w:rPr>
            </w:pPr>
            <w:r>
              <w:rPr>
                <w:rFonts w:ascii="宋体" w:hAnsi="宋体" w:cs="宋体"/>
                <w:color w:val="auto"/>
                <w:sz w:val="24"/>
                <w:highlight w:val="none"/>
              </w:rPr>
              <w:t>项号</w:t>
            </w:r>
          </w:p>
        </w:tc>
        <w:tc>
          <w:tcPr>
            <w:tcW w:w="1590" w:type="dxa"/>
            <w:noWrap w:val="0"/>
            <w:vAlign w:val="center"/>
          </w:tcPr>
          <w:p w14:paraId="59B58C02">
            <w:pPr>
              <w:spacing w:line="560" w:lineRule="exact"/>
              <w:jc w:val="center"/>
              <w:rPr>
                <w:rFonts w:ascii="宋体" w:hAnsi="宋体" w:cs="宋体"/>
                <w:color w:val="auto"/>
                <w:sz w:val="24"/>
                <w:highlight w:val="none"/>
              </w:rPr>
            </w:pPr>
            <w:r>
              <w:rPr>
                <w:rFonts w:ascii="宋体" w:hAnsi="宋体" w:cs="宋体"/>
                <w:color w:val="auto"/>
                <w:sz w:val="24"/>
                <w:highlight w:val="none"/>
              </w:rPr>
              <w:t>内容</w:t>
            </w:r>
          </w:p>
        </w:tc>
        <w:tc>
          <w:tcPr>
            <w:tcW w:w="7304" w:type="dxa"/>
            <w:noWrap w:val="0"/>
            <w:vAlign w:val="center"/>
          </w:tcPr>
          <w:p w14:paraId="2E39C9D1">
            <w:pPr>
              <w:spacing w:line="560" w:lineRule="exact"/>
              <w:jc w:val="center"/>
              <w:rPr>
                <w:rFonts w:ascii="宋体" w:hAnsi="宋体" w:cs="宋体"/>
                <w:color w:val="auto"/>
                <w:sz w:val="24"/>
                <w:highlight w:val="none"/>
              </w:rPr>
            </w:pPr>
            <w:r>
              <w:rPr>
                <w:rFonts w:ascii="宋体" w:hAnsi="宋体" w:cs="宋体"/>
                <w:color w:val="auto"/>
                <w:sz w:val="24"/>
                <w:highlight w:val="none"/>
              </w:rPr>
              <w:t>说明与要求</w:t>
            </w:r>
          </w:p>
        </w:tc>
      </w:tr>
      <w:tr w14:paraId="05827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6CCB6130">
            <w:pPr>
              <w:widowControl/>
              <w:spacing w:line="560" w:lineRule="exact"/>
              <w:jc w:val="center"/>
              <w:textAlignment w:val="center"/>
              <w:rPr>
                <w:rFonts w:ascii="宋体" w:hAnsi="宋体" w:cs="宋体"/>
                <w:color w:val="auto"/>
                <w:sz w:val="24"/>
                <w:highlight w:val="none"/>
              </w:rPr>
            </w:pPr>
            <w:r>
              <w:rPr>
                <w:rFonts w:ascii="宋体" w:hAnsi="宋体" w:cs="宋体"/>
                <w:color w:val="auto"/>
                <w:kern w:val="0"/>
                <w:sz w:val="24"/>
                <w:highlight w:val="none"/>
                <w:lang w:bidi="ar"/>
              </w:rPr>
              <w:t>1</w:t>
            </w:r>
          </w:p>
        </w:tc>
        <w:tc>
          <w:tcPr>
            <w:tcW w:w="1590" w:type="dxa"/>
            <w:noWrap w:val="0"/>
            <w:vAlign w:val="center"/>
          </w:tcPr>
          <w:p w14:paraId="33813A89">
            <w:pPr>
              <w:spacing w:line="560" w:lineRule="exact"/>
              <w:jc w:val="center"/>
              <w:rPr>
                <w:rFonts w:ascii="宋体" w:hAnsi="宋体" w:cs="宋体"/>
                <w:color w:val="auto"/>
                <w:sz w:val="24"/>
                <w:highlight w:val="none"/>
              </w:rPr>
            </w:pPr>
            <w:r>
              <w:rPr>
                <w:rFonts w:ascii="宋体" w:hAnsi="宋体" w:cs="宋体"/>
                <w:color w:val="auto"/>
                <w:sz w:val="24"/>
                <w:highlight w:val="none"/>
              </w:rPr>
              <w:t>项目名称</w:t>
            </w:r>
          </w:p>
        </w:tc>
        <w:tc>
          <w:tcPr>
            <w:tcW w:w="7304" w:type="dxa"/>
            <w:noWrap w:val="0"/>
            <w:vAlign w:val="center"/>
          </w:tcPr>
          <w:p w14:paraId="1590641B">
            <w:pPr>
              <w:spacing w:line="56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邹城市钢山街道邹鲁苑公园绿化养护管理服务项目</w:t>
            </w:r>
          </w:p>
        </w:tc>
      </w:tr>
      <w:tr w14:paraId="4B7E1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64C3D844">
            <w:pPr>
              <w:widowControl/>
              <w:spacing w:line="560" w:lineRule="exact"/>
              <w:jc w:val="center"/>
              <w:textAlignment w:val="center"/>
              <w:rPr>
                <w:rFonts w:ascii="宋体" w:hAnsi="宋体" w:cs="宋体"/>
                <w:color w:val="auto"/>
                <w:sz w:val="24"/>
                <w:highlight w:val="none"/>
              </w:rPr>
            </w:pPr>
            <w:r>
              <w:rPr>
                <w:rFonts w:ascii="宋体" w:hAnsi="宋体" w:cs="宋体"/>
                <w:color w:val="auto"/>
                <w:kern w:val="0"/>
                <w:sz w:val="24"/>
                <w:highlight w:val="none"/>
                <w:lang w:bidi="ar"/>
              </w:rPr>
              <w:t>2</w:t>
            </w:r>
          </w:p>
        </w:tc>
        <w:tc>
          <w:tcPr>
            <w:tcW w:w="1590" w:type="dxa"/>
            <w:noWrap w:val="0"/>
            <w:vAlign w:val="center"/>
          </w:tcPr>
          <w:p w14:paraId="3044FA90">
            <w:pPr>
              <w:spacing w:line="560" w:lineRule="exact"/>
              <w:jc w:val="center"/>
              <w:rPr>
                <w:rFonts w:ascii="宋体" w:hAnsi="宋体" w:cs="宋体"/>
                <w:color w:val="auto"/>
                <w:sz w:val="24"/>
                <w:highlight w:val="none"/>
              </w:rPr>
            </w:pPr>
            <w:r>
              <w:rPr>
                <w:rFonts w:ascii="宋体" w:hAnsi="宋体" w:cs="宋体"/>
                <w:color w:val="auto"/>
                <w:sz w:val="24"/>
                <w:highlight w:val="none"/>
              </w:rPr>
              <w:t>项目编号</w:t>
            </w:r>
          </w:p>
        </w:tc>
        <w:tc>
          <w:tcPr>
            <w:tcW w:w="7304" w:type="dxa"/>
            <w:noWrap w:val="0"/>
            <w:vAlign w:val="center"/>
          </w:tcPr>
          <w:p w14:paraId="616CCFC3">
            <w:pPr>
              <w:spacing w:line="560" w:lineRule="exact"/>
              <w:rPr>
                <w:rFonts w:hint="eastAsia" w:ascii="宋体" w:hAnsi="宋体" w:eastAsia="宋体" w:cs="宋体"/>
                <w:bCs/>
                <w:color w:val="auto"/>
                <w:sz w:val="24"/>
                <w:highlight w:val="none"/>
                <w:lang w:eastAsia="zh-CN"/>
              </w:rPr>
            </w:pPr>
            <w:r>
              <w:rPr>
                <w:rFonts w:hint="eastAsia" w:ascii="宋体" w:hAnsi="宋体" w:cs="宋体"/>
                <w:color w:val="auto"/>
                <w:kern w:val="0"/>
                <w:sz w:val="24"/>
                <w:highlight w:val="none"/>
                <w:lang w:eastAsia="zh-CN"/>
              </w:rPr>
              <w:t>JNZH-2025-0702</w:t>
            </w:r>
          </w:p>
        </w:tc>
      </w:tr>
      <w:tr w14:paraId="71F5F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7FAD7406">
            <w:pPr>
              <w:widowControl/>
              <w:spacing w:line="560" w:lineRule="exact"/>
              <w:jc w:val="center"/>
              <w:textAlignment w:val="center"/>
              <w:rPr>
                <w:rFonts w:ascii="宋体" w:hAnsi="宋体" w:cs="宋体"/>
                <w:color w:val="auto"/>
                <w:sz w:val="24"/>
                <w:highlight w:val="none"/>
              </w:rPr>
            </w:pPr>
            <w:r>
              <w:rPr>
                <w:rFonts w:ascii="宋体" w:hAnsi="宋体" w:cs="宋体"/>
                <w:color w:val="auto"/>
                <w:kern w:val="0"/>
                <w:sz w:val="24"/>
                <w:highlight w:val="none"/>
                <w:lang w:bidi="ar"/>
              </w:rPr>
              <w:t>3</w:t>
            </w:r>
          </w:p>
        </w:tc>
        <w:tc>
          <w:tcPr>
            <w:tcW w:w="1590" w:type="dxa"/>
            <w:noWrap w:val="0"/>
            <w:vAlign w:val="center"/>
          </w:tcPr>
          <w:p w14:paraId="18819C2C">
            <w:pPr>
              <w:spacing w:line="560" w:lineRule="exact"/>
              <w:jc w:val="center"/>
              <w:rPr>
                <w:rFonts w:ascii="宋体" w:hAnsi="宋体" w:cs="宋体"/>
                <w:color w:val="auto"/>
                <w:sz w:val="24"/>
                <w:highlight w:val="none"/>
              </w:rPr>
            </w:pPr>
            <w:r>
              <w:rPr>
                <w:rFonts w:ascii="宋体" w:hAnsi="宋体" w:cs="宋体"/>
                <w:color w:val="auto"/>
                <w:sz w:val="24"/>
                <w:highlight w:val="none"/>
              </w:rPr>
              <w:t>服务地点</w:t>
            </w:r>
          </w:p>
        </w:tc>
        <w:tc>
          <w:tcPr>
            <w:tcW w:w="7304" w:type="dxa"/>
            <w:noWrap w:val="0"/>
            <w:vAlign w:val="center"/>
          </w:tcPr>
          <w:p w14:paraId="2EA57E5A">
            <w:pPr>
              <w:spacing w:line="560" w:lineRule="exact"/>
              <w:rPr>
                <w:rFonts w:ascii="宋体" w:hAnsi="宋体" w:cs="宋体"/>
                <w:color w:val="auto"/>
                <w:sz w:val="24"/>
                <w:highlight w:val="none"/>
              </w:rPr>
            </w:pPr>
            <w:r>
              <w:rPr>
                <w:rFonts w:ascii="宋体" w:hAnsi="宋体" w:cs="宋体"/>
                <w:color w:val="auto"/>
                <w:sz w:val="24"/>
                <w:highlight w:val="none"/>
              </w:rPr>
              <w:t>采购人指定地点</w:t>
            </w:r>
          </w:p>
        </w:tc>
      </w:tr>
      <w:tr w14:paraId="13DFA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3BD460B3">
            <w:pPr>
              <w:widowControl/>
              <w:spacing w:line="560" w:lineRule="exact"/>
              <w:jc w:val="center"/>
              <w:textAlignment w:val="center"/>
              <w:rPr>
                <w:rFonts w:ascii="宋体" w:hAnsi="宋体" w:cs="宋体"/>
                <w:color w:val="auto"/>
                <w:sz w:val="24"/>
                <w:highlight w:val="none"/>
              </w:rPr>
            </w:pPr>
            <w:r>
              <w:rPr>
                <w:rFonts w:ascii="宋体" w:hAnsi="宋体" w:cs="宋体"/>
                <w:color w:val="auto"/>
                <w:kern w:val="0"/>
                <w:sz w:val="24"/>
                <w:highlight w:val="none"/>
                <w:lang w:bidi="ar"/>
              </w:rPr>
              <w:t>4</w:t>
            </w:r>
          </w:p>
        </w:tc>
        <w:tc>
          <w:tcPr>
            <w:tcW w:w="1590" w:type="dxa"/>
            <w:noWrap w:val="0"/>
            <w:vAlign w:val="center"/>
          </w:tcPr>
          <w:p w14:paraId="5AA5D5CC">
            <w:pPr>
              <w:spacing w:line="560" w:lineRule="exact"/>
              <w:jc w:val="center"/>
              <w:rPr>
                <w:rFonts w:ascii="宋体" w:hAnsi="宋体" w:cs="宋体"/>
                <w:color w:val="auto"/>
                <w:sz w:val="24"/>
                <w:highlight w:val="none"/>
              </w:rPr>
            </w:pPr>
            <w:r>
              <w:rPr>
                <w:rFonts w:ascii="宋体" w:hAnsi="宋体" w:cs="宋体"/>
                <w:color w:val="auto"/>
                <w:sz w:val="24"/>
                <w:highlight w:val="none"/>
              </w:rPr>
              <w:t>服务期限</w:t>
            </w:r>
          </w:p>
        </w:tc>
        <w:tc>
          <w:tcPr>
            <w:tcW w:w="7304" w:type="dxa"/>
            <w:noWrap w:val="0"/>
            <w:vAlign w:val="center"/>
          </w:tcPr>
          <w:p w14:paraId="5A832102">
            <w:pPr>
              <w:spacing w:line="560" w:lineRule="exact"/>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本次采购服务期限一年，合同一年一签，合同到期后，采购人视中标方履约情况决定合同是否续签，最多续签两年。</w:t>
            </w:r>
          </w:p>
        </w:tc>
      </w:tr>
      <w:tr w14:paraId="6D0B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5D2851B8">
            <w:pPr>
              <w:widowControl/>
              <w:spacing w:line="560" w:lineRule="exact"/>
              <w:jc w:val="center"/>
              <w:textAlignment w:val="center"/>
              <w:rPr>
                <w:rFonts w:ascii="宋体" w:hAnsi="宋体" w:cs="宋体"/>
                <w:color w:val="auto"/>
                <w:sz w:val="24"/>
                <w:highlight w:val="none"/>
              </w:rPr>
            </w:pPr>
            <w:r>
              <w:rPr>
                <w:rFonts w:ascii="宋体" w:hAnsi="宋体" w:cs="宋体"/>
                <w:color w:val="auto"/>
                <w:kern w:val="0"/>
                <w:sz w:val="24"/>
                <w:highlight w:val="none"/>
                <w:lang w:bidi="ar"/>
              </w:rPr>
              <w:t>5</w:t>
            </w:r>
          </w:p>
        </w:tc>
        <w:tc>
          <w:tcPr>
            <w:tcW w:w="1590" w:type="dxa"/>
            <w:noWrap w:val="0"/>
            <w:vAlign w:val="center"/>
          </w:tcPr>
          <w:p w14:paraId="79670AB4">
            <w:pPr>
              <w:spacing w:line="560" w:lineRule="exact"/>
              <w:jc w:val="center"/>
              <w:rPr>
                <w:rFonts w:ascii="宋体" w:hAnsi="宋体" w:cs="宋体"/>
                <w:color w:val="auto"/>
                <w:sz w:val="24"/>
                <w:highlight w:val="none"/>
              </w:rPr>
            </w:pPr>
            <w:r>
              <w:rPr>
                <w:rFonts w:ascii="宋体" w:hAnsi="宋体" w:cs="宋体"/>
                <w:color w:val="auto"/>
                <w:sz w:val="24"/>
                <w:highlight w:val="none"/>
              </w:rPr>
              <w:t>服务标准</w:t>
            </w:r>
          </w:p>
        </w:tc>
        <w:tc>
          <w:tcPr>
            <w:tcW w:w="7304" w:type="dxa"/>
            <w:noWrap w:val="0"/>
            <w:vAlign w:val="center"/>
          </w:tcPr>
          <w:p w14:paraId="6E364835">
            <w:pPr>
              <w:pStyle w:val="22"/>
              <w:spacing w:line="560" w:lineRule="exact"/>
              <w:ind w:firstLine="0" w:firstLineChars="0"/>
              <w:rPr>
                <w:rFonts w:ascii="宋体" w:hAnsi="宋体" w:cs="宋体"/>
                <w:color w:val="auto"/>
                <w:sz w:val="24"/>
                <w:highlight w:val="none"/>
              </w:rPr>
            </w:pPr>
            <w:r>
              <w:rPr>
                <w:rFonts w:ascii="宋体" w:hAnsi="宋体" w:cs="宋体"/>
                <w:bCs/>
                <w:color w:val="auto"/>
                <w:sz w:val="24"/>
                <w:highlight w:val="none"/>
              </w:rPr>
              <w:t>满足国家、行业现行相关标准及</w:t>
            </w:r>
            <w:r>
              <w:rPr>
                <w:rFonts w:hint="eastAsia" w:ascii="宋体" w:hAnsi="宋体" w:cs="宋体"/>
                <w:bCs/>
                <w:color w:val="auto"/>
                <w:sz w:val="24"/>
                <w:highlight w:val="none"/>
                <w:lang w:eastAsia="zh-CN"/>
              </w:rPr>
              <w:t>邹城市钢山街道龙山社区居民委员会</w:t>
            </w:r>
            <w:r>
              <w:rPr>
                <w:rFonts w:ascii="宋体" w:hAnsi="宋体" w:cs="宋体"/>
                <w:bCs/>
                <w:color w:val="auto"/>
                <w:sz w:val="24"/>
                <w:highlight w:val="none"/>
              </w:rPr>
              <w:t>制定的现行和服务期内制定的相关标准和要求。</w:t>
            </w:r>
          </w:p>
        </w:tc>
      </w:tr>
      <w:tr w14:paraId="28BA9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346FD346">
            <w:pPr>
              <w:widowControl/>
              <w:spacing w:line="560" w:lineRule="exact"/>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6</w:t>
            </w:r>
          </w:p>
        </w:tc>
        <w:tc>
          <w:tcPr>
            <w:tcW w:w="1590" w:type="dxa"/>
            <w:noWrap w:val="0"/>
            <w:vAlign w:val="center"/>
          </w:tcPr>
          <w:p w14:paraId="53F4ECE0">
            <w:pPr>
              <w:spacing w:line="560" w:lineRule="exact"/>
              <w:jc w:val="center"/>
              <w:rPr>
                <w:rFonts w:ascii="宋体" w:hAnsi="宋体" w:cs="宋体"/>
                <w:color w:val="auto"/>
                <w:sz w:val="24"/>
                <w:highlight w:val="none"/>
              </w:rPr>
            </w:pPr>
            <w:r>
              <w:rPr>
                <w:rFonts w:ascii="宋体" w:hAnsi="宋体" w:cs="宋体"/>
                <w:color w:val="auto"/>
                <w:sz w:val="24"/>
                <w:highlight w:val="none"/>
              </w:rPr>
              <w:t>采购内容</w:t>
            </w:r>
          </w:p>
        </w:tc>
        <w:tc>
          <w:tcPr>
            <w:tcW w:w="7304" w:type="dxa"/>
            <w:noWrap w:val="0"/>
            <w:vAlign w:val="center"/>
          </w:tcPr>
          <w:p w14:paraId="6B55B647">
            <w:pPr>
              <w:pStyle w:val="22"/>
              <w:spacing w:line="560" w:lineRule="exact"/>
              <w:ind w:firstLine="0" w:firstLineChars="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rPr>
              <w:t>详见第四部分采购内容及要求</w:t>
            </w:r>
          </w:p>
        </w:tc>
      </w:tr>
      <w:tr w14:paraId="5B3E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17AC9722">
            <w:pPr>
              <w:widowControl/>
              <w:spacing w:line="560" w:lineRule="exact"/>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7</w:t>
            </w:r>
          </w:p>
        </w:tc>
        <w:tc>
          <w:tcPr>
            <w:tcW w:w="1590" w:type="dxa"/>
            <w:noWrap w:val="0"/>
            <w:vAlign w:val="center"/>
          </w:tcPr>
          <w:p w14:paraId="7C624CDF">
            <w:pPr>
              <w:spacing w:line="560" w:lineRule="exact"/>
              <w:jc w:val="center"/>
              <w:rPr>
                <w:rFonts w:ascii="宋体" w:hAnsi="宋体" w:cs="宋体"/>
                <w:color w:val="auto"/>
                <w:sz w:val="24"/>
                <w:highlight w:val="none"/>
              </w:rPr>
            </w:pPr>
            <w:r>
              <w:rPr>
                <w:rFonts w:ascii="宋体" w:hAnsi="宋体" w:cs="宋体"/>
                <w:color w:val="auto"/>
                <w:sz w:val="24"/>
                <w:highlight w:val="none"/>
              </w:rPr>
              <w:t>付款方式</w:t>
            </w:r>
          </w:p>
        </w:tc>
        <w:tc>
          <w:tcPr>
            <w:tcW w:w="7304" w:type="dxa"/>
            <w:noWrap w:val="0"/>
            <w:vAlign w:val="center"/>
          </w:tcPr>
          <w:p w14:paraId="22B1E98B">
            <w:pPr>
              <w:spacing w:line="560" w:lineRule="exact"/>
              <w:rPr>
                <w:rFonts w:ascii="宋体" w:hAnsi="宋体" w:cs="宋体"/>
                <w:bCs/>
                <w:color w:val="auto"/>
                <w:sz w:val="24"/>
                <w:highlight w:val="none"/>
              </w:rPr>
            </w:pPr>
            <w:r>
              <w:rPr>
                <w:rFonts w:hint="eastAsia" w:ascii="宋体" w:hAnsi="宋体" w:cs="宋体"/>
                <w:bCs/>
                <w:color w:val="auto"/>
                <w:sz w:val="24"/>
                <w:highlight w:val="none"/>
                <w:lang w:val="en-US" w:eastAsia="zh-CN"/>
              </w:rPr>
              <w:t>本项目无预付款，</w:t>
            </w:r>
            <w:r>
              <w:rPr>
                <w:rFonts w:hint="eastAsia" w:ascii="宋体" w:hAnsi="宋体" w:cs="宋体"/>
                <w:bCs/>
                <w:color w:val="auto"/>
                <w:sz w:val="24"/>
                <w:highlight w:val="none"/>
                <w:lang w:eastAsia="zh-CN"/>
              </w:rPr>
              <w:t>采购人按合同金额每半年均摊拨付给供应商。</w:t>
            </w:r>
          </w:p>
        </w:tc>
      </w:tr>
      <w:tr w14:paraId="37085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1380E010">
            <w:pPr>
              <w:widowControl/>
              <w:spacing w:line="560" w:lineRule="exact"/>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1590" w:type="dxa"/>
            <w:noWrap w:val="0"/>
            <w:vAlign w:val="center"/>
          </w:tcPr>
          <w:p w14:paraId="60522A13">
            <w:pPr>
              <w:spacing w:line="560" w:lineRule="exact"/>
              <w:jc w:val="center"/>
              <w:rPr>
                <w:rFonts w:ascii="宋体" w:hAnsi="宋体" w:cs="宋体"/>
                <w:color w:val="auto"/>
                <w:sz w:val="24"/>
                <w:highlight w:val="none"/>
              </w:rPr>
            </w:pPr>
            <w:r>
              <w:rPr>
                <w:rFonts w:ascii="宋体" w:hAnsi="宋体" w:cs="宋体"/>
                <w:color w:val="auto"/>
                <w:sz w:val="24"/>
                <w:highlight w:val="none"/>
              </w:rPr>
              <w:t>磋商响应方资格要求</w:t>
            </w:r>
          </w:p>
        </w:tc>
        <w:tc>
          <w:tcPr>
            <w:tcW w:w="7304" w:type="dxa"/>
            <w:noWrap w:val="0"/>
            <w:vAlign w:val="center"/>
          </w:tcPr>
          <w:p w14:paraId="0C9742AC">
            <w:pPr>
              <w:pStyle w:val="11"/>
              <w:spacing w:line="560" w:lineRule="exact"/>
              <w:jc w:val="both"/>
              <w:rPr>
                <w:rFonts w:ascii="宋体" w:hAnsi="宋体" w:cs="宋体"/>
                <w:color w:val="auto"/>
                <w:kern w:val="2"/>
                <w:highlight w:val="none"/>
              </w:rPr>
            </w:pPr>
            <w:r>
              <w:rPr>
                <w:rFonts w:ascii="宋体" w:hAnsi="宋体" w:cs="宋体"/>
                <w:color w:val="auto"/>
                <w:kern w:val="2"/>
                <w:highlight w:val="none"/>
              </w:rPr>
              <w:t>详见磋商响应方须知三、磋商响应方应具备的条件</w:t>
            </w:r>
          </w:p>
        </w:tc>
      </w:tr>
      <w:tr w14:paraId="05FB1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47A554F3">
            <w:pPr>
              <w:widowControl/>
              <w:spacing w:line="560" w:lineRule="exact"/>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1590" w:type="dxa"/>
            <w:noWrap w:val="0"/>
            <w:vAlign w:val="center"/>
          </w:tcPr>
          <w:p w14:paraId="262BAF16">
            <w:pPr>
              <w:spacing w:line="560" w:lineRule="exact"/>
              <w:jc w:val="center"/>
              <w:rPr>
                <w:rFonts w:ascii="宋体" w:hAnsi="宋体" w:cs="宋体"/>
                <w:color w:val="auto"/>
                <w:sz w:val="24"/>
                <w:highlight w:val="none"/>
              </w:rPr>
            </w:pPr>
            <w:r>
              <w:rPr>
                <w:rFonts w:ascii="宋体" w:hAnsi="宋体" w:cs="宋体"/>
                <w:color w:val="auto"/>
                <w:sz w:val="24"/>
                <w:highlight w:val="none"/>
              </w:rPr>
              <w:t>资格审查方式</w:t>
            </w:r>
          </w:p>
        </w:tc>
        <w:tc>
          <w:tcPr>
            <w:tcW w:w="7304" w:type="dxa"/>
            <w:noWrap w:val="0"/>
            <w:vAlign w:val="center"/>
          </w:tcPr>
          <w:p w14:paraId="095DD523">
            <w:pPr>
              <w:spacing w:line="560" w:lineRule="exact"/>
              <w:rPr>
                <w:rFonts w:ascii="宋体" w:hAnsi="宋体" w:cs="宋体"/>
                <w:color w:val="auto"/>
                <w:sz w:val="24"/>
                <w:highlight w:val="none"/>
              </w:rPr>
            </w:pPr>
            <w:r>
              <w:rPr>
                <w:rFonts w:ascii="宋体" w:hAnsi="宋体" w:cs="宋体"/>
                <w:color w:val="auto"/>
                <w:sz w:val="24"/>
                <w:highlight w:val="none"/>
              </w:rPr>
              <w:t>资格后审</w:t>
            </w:r>
          </w:p>
        </w:tc>
      </w:tr>
      <w:tr w14:paraId="4083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4D610611">
            <w:pPr>
              <w:widowControl/>
              <w:spacing w:line="560" w:lineRule="exact"/>
              <w:jc w:val="center"/>
              <w:textAlignment w:val="center"/>
              <w:rPr>
                <w:rFonts w:hint="eastAsia" w:ascii="宋体" w:hAnsi="宋体" w:eastAsia="宋体" w:cs="宋体"/>
                <w:color w:val="auto"/>
                <w:sz w:val="24"/>
                <w:highlight w:val="none"/>
                <w:lang w:eastAsia="zh-CN"/>
              </w:rPr>
            </w:pPr>
            <w:r>
              <w:rPr>
                <w:rFonts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0</w:t>
            </w:r>
          </w:p>
        </w:tc>
        <w:tc>
          <w:tcPr>
            <w:tcW w:w="1590" w:type="dxa"/>
            <w:noWrap w:val="0"/>
            <w:vAlign w:val="center"/>
          </w:tcPr>
          <w:p w14:paraId="7F797A7E">
            <w:pPr>
              <w:spacing w:line="560" w:lineRule="exact"/>
              <w:jc w:val="center"/>
              <w:rPr>
                <w:rFonts w:ascii="宋体" w:hAnsi="宋体" w:cs="宋体"/>
                <w:color w:val="auto"/>
                <w:sz w:val="24"/>
                <w:highlight w:val="none"/>
              </w:rPr>
            </w:pPr>
            <w:r>
              <w:rPr>
                <w:rFonts w:ascii="宋体" w:hAnsi="宋体" w:cs="宋体"/>
                <w:color w:val="auto"/>
                <w:sz w:val="24"/>
                <w:highlight w:val="none"/>
              </w:rPr>
              <w:t>磋商有效期</w:t>
            </w:r>
          </w:p>
        </w:tc>
        <w:tc>
          <w:tcPr>
            <w:tcW w:w="7304" w:type="dxa"/>
            <w:noWrap w:val="0"/>
            <w:vAlign w:val="center"/>
          </w:tcPr>
          <w:p w14:paraId="0B47ABC3">
            <w:pPr>
              <w:spacing w:line="560" w:lineRule="exact"/>
              <w:rPr>
                <w:rFonts w:ascii="宋体" w:hAnsi="宋体" w:cs="宋体"/>
                <w:color w:val="auto"/>
                <w:sz w:val="24"/>
                <w:highlight w:val="none"/>
              </w:rPr>
            </w:pPr>
            <w:r>
              <w:rPr>
                <w:rFonts w:ascii="宋体" w:hAnsi="宋体" w:cs="宋体"/>
                <w:color w:val="auto"/>
                <w:sz w:val="24"/>
                <w:highlight w:val="none"/>
              </w:rPr>
              <w:t>自递交磋商响应文件截止之日起60个日历日</w:t>
            </w:r>
          </w:p>
        </w:tc>
      </w:tr>
      <w:tr w14:paraId="4B8B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jc w:val="center"/>
        </w:trPr>
        <w:tc>
          <w:tcPr>
            <w:tcW w:w="698" w:type="dxa"/>
            <w:noWrap w:val="0"/>
            <w:vAlign w:val="center"/>
          </w:tcPr>
          <w:p w14:paraId="675AB84A">
            <w:pPr>
              <w:widowControl/>
              <w:spacing w:line="560" w:lineRule="exact"/>
              <w:jc w:val="center"/>
              <w:textAlignment w:val="center"/>
              <w:rPr>
                <w:rFonts w:hint="eastAsia" w:ascii="宋体" w:hAnsi="宋体" w:eastAsia="宋体" w:cs="宋体"/>
                <w:color w:val="auto"/>
                <w:sz w:val="24"/>
                <w:highlight w:val="none"/>
                <w:lang w:eastAsia="zh-CN"/>
              </w:rPr>
            </w:pPr>
            <w:r>
              <w:rPr>
                <w:rFonts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w:t>
            </w:r>
          </w:p>
        </w:tc>
        <w:tc>
          <w:tcPr>
            <w:tcW w:w="1590" w:type="dxa"/>
            <w:noWrap w:val="0"/>
            <w:vAlign w:val="center"/>
          </w:tcPr>
          <w:p w14:paraId="4BF22201">
            <w:pPr>
              <w:spacing w:line="560" w:lineRule="exact"/>
              <w:jc w:val="center"/>
              <w:rPr>
                <w:rFonts w:ascii="宋体" w:hAnsi="宋体" w:cs="宋体"/>
                <w:color w:val="auto"/>
                <w:sz w:val="24"/>
                <w:highlight w:val="none"/>
              </w:rPr>
            </w:pPr>
            <w:r>
              <w:rPr>
                <w:rFonts w:ascii="宋体" w:hAnsi="宋体" w:cs="宋体"/>
                <w:color w:val="auto"/>
                <w:sz w:val="24"/>
                <w:highlight w:val="none"/>
              </w:rPr>
              <w:t>响应文件份数及装订要求</w:t>
            </w:r>
          </w:p>
        </w:tc>
        <w:tc>
          <w:tcPr>
            <w:tcW w:w="7304" w:type="dxa"/>
            <w:noWrap w:val="0"/>
            <w:vAlign w:val="center"/>
          </w:tcPr>
          <w:p w14:paraId="2DCEFB9A">
            <w:pPr>
              <w:spacing w:line="560" w:lineRule="exact"/>
              <w:rPr>
                <w:rFonts w:ascii="宋体" w:hAnsi="宋体" w:cs="宋体"/>
                <w:color w:val="auto"/>
                <w:sz w:val="24"/>
                <w:highlight w:val="none"/>
              </w:rPr>
            </w:pPr>
            <w:r>
              <w:rPr>
                <w:rFonts w:ascii="宋体" w:hAnsi="宋体" w:cs="宋体"/>
                <w:color w:val="auto"/>
                <w:sz w:val="24"/>
                <w:highlight w:val="none"/>
              </w:rPr>
              <w:t>一份正本，</w:t>
            </w:r>
            <w:r>
              <w:rPr>
                <w:rFonts w:hint="eastAsia" w:ascii="宋体" w:hAnsi="宋体" w:cs="宋体"/>
                <w:color w:val="auto"/>
                <w:sz w:val="24"/>
                <w:highlight w:val="none"/>
                <w:lang w:val="en-US" w:eastAsia="zh-CN"/>
              </w:rPr>
              <w:t>叁份副本</w:t>
            </w:r>
            <w:r>
              <w:rPr>
                <w:rFonts w:ascii="宋体" w:hAnsi="宋体" w:cs="宋体"/>
                <w:color w:val="auto"/>
                <w:sz w:val="24"/>
                <w:highlight w:val="none"/>
              </w:rPr>
              <w:t>。</w:t>
            </w:r>
          </w:p>
          <w:p w14:paraId="4F61FD2A">
            <w:pPr>
              <w:spacing w:line="560" w:lineRule="exact"/>
              <w:rPr>
                <w:rFonts w:ascii="宋体" w:hAnsi="宋体" w:cs="宋体"/>
                <w:color w:val="auto"/>
                <w:sz w:val="24"/>
                <w:highlight w:val="none"/>
              </w:rPr>
            </w:pPr>
            <w:r>
              <w:rPr>
                <w:rFonts w:ascii="宋体" w:hAnsi="宋体" w:cs="宋体"/>
                <w:color w:val="auto"/>
                <w:sz w:val="24"/>
                <w:highlight w:val="none"/>
              </w:rPr>
              <w:t>应按竞争性磋商文件提供的格式胶装成册，响应文件的正本与副本应分别装订成册，响应文件每册均须采用胶装方式装订，注明正副本，装订须牢固不易拆散和换页，不得采用活页方式装订。</w:t>
            </w:r>
          </w:p>
        </w:tc>
      </w:tr>
      <w:tr w14:paraId="6188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47E53ED8">
            <w:pPr>
              <w:widowControl/>
              <w:spacing w:line="560" w:lineRule="exact"/>
              <w:jc w:val="center"/>
              <w:textAlignment w:val="center"/>
              <w:rPr>
                <w:rFonts w:hint="eastAsia" w:ascii="宋体" w:hAnsi="宋体" w:eastAsia="宋体" w:cs="宋体"/>
                <w:color w:val="auto"/>
                <w:sz w:val="24"/>
                <w:highlight w:val="none"/>
                <w:lang w:eastAsia="zh-CN"/>
              </w:rPr>
            </w:pPr>
            <w:r>
              <w:rPr>
                <w:rFonts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2</w:t>
            </w:r>
          </w:p>
        </w:tc>
        <w:tc>
          <w:tcPr>
            <w:tcW w:w="1590" w:type="dxa"/>
            <w:noWrap w:val="0"/>
            <w:vAlign w:val="center"/>
          </w:tcPr>
          <w:p w14:paraId="0619D219">
            <w:pPr>
              <w:spacing w:line="560" w:lineRule="exact"/>
              <w:jc w:val="center"/>
              <w:rPr>
                <w:rFonts w:ascii="宋体" w:hAnsi="宋体" w:cs="宋体"/>
                <w:color w:val="auto"/>
                <w:sz w:val="24"/>
                <w:highlight w:val="none"/>
              </w:rPr>
            </w:pPr>
            <w:r>
              <w:rPr>
                <w:rFonts w:ascii="宋体" w:hAnsi="宋体" w:cs="宋体"/>
                <w:color w:val="auto"/>
                <w:sz w:val="24"/>
                <w:highlight w:val="none"/>
              </w:rPr>
              <w:t>纸质响应文件的密封</w:t>
            </w:r>
          </w:p>
        </w:tc>
        <w:tc>
          <w:tcPr>
            <w:tcW w:w="7304" w:type="dxa"/>
            <w:noWrap w:val="0"/>
            <w:vAlign w:val="center"/>
          </w:tcPr>
          <w:p w14:paraId="4CC7DAEC">
            <w:pPr>
              <w:spacing w:line="560" w:lineRule="exact"/>
              <w:rPr>
                <w:rFonts w:ascii="宋体" w:hAnsi="宋体" w:cs="宋体"/>
                <w:color w:val="auto"/>
                <w:sz w:val="24"/>
                <w:highlight w:val="none"/>
              </w:rPr>
            </w:pPr>
            <w:r>
              <w:rPr>
                <w:rFonts w:ascii="宋体" w:hAnsi="宋体" w:cs="宋体"/>
                <w:color w:val="auto"/>
                <w:sz w:val="24"/>
                <w:highlight w:val="none"/>
              </w:rPr>
              <w:t>1、密封套应标注项目名称、磋商响应方名称等内容，密封套封口处应加盖供应商单位公章或由授权委托人签字。</w:t>
            </w:r>
          </w:p>
          <w:p w14:paraId="7F05D2A2">
            <w:pPr>
              <w:spacing w:line="560" w:lineRule="exact"/>
              <w:rPr>
                <w:rFonts w:ascii="宋体" w:hAnsi="宋体" w:cs="宋体"/>
                <w:color w:val="auto"/>
                <w:sz w:val="24"/>
                <w:highlight w:val="none"/>
              </w:rPr>
            </w:pPr>
            <w:r>
              <w:rPr>
                <w:rFonts w:ascii="宋体" w:hAnsi="宋体" w:cs="宋体"/>
                <w:color w:val="auto"/>
                <w:sz w:val="24"/>
                <w:highlight w:val="none"/>
              </w:rPr>
              <w:t>2、未按照上述要求密封及未在密封套标注的，其响应文件将均被拒绝。</w:t>
            </w:r>
          </w:p>
        </w:tc>
      </w:tr>
      <w:tr w14:paraId="01D9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698" w:type="dxa"/>
            <w:noWrap w:val="0"/>
            <w:vAlign w:val="center"/>
          </w:tcPr>
          <w:p w14:paraId="34CFCBB8">
            <w:pPr>
              <w:widowControl/>
              <w:spacing w:line="560" w:lineRule="exact"/>
              <w:jc w:val="center"/>
              <w:textAlignment w:val="center"/>
              <w:rPr>
                <w:rFonts w:hint="eastAsia" w:ascii="宋体" w:hAnsi="宋体" w:eastAsia="宋体" w:cs="宋体"/>
                <w:color w:val="auto"/>
                <w:sz w:val="24"/>
                <w:highlight w:val="none"/>
                <w:lang w:eastAsia="zh-CN"/>
              </w:rPr>
            </w:pPr>
            <w:r>
              <w:rPr>
                <w:rFonts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3</w:t>
            </w:r>
          </w:p>
        </w:tc>
        <w:tc>
          <w:tcPr>
            <w:tcW w:w="1590" w:type="dxa"/>
            <w:noWrap w:val="0"/>
            <w:vAlign w:val="center"/>
          </w:tcPr>
          <w:p w14:paraId="6CE1C65D">
            <w:pPr>
              <w:spacing w:line="560" w:lineRule="exact"/>
              <w:jc w:val="center"/>
              <w:rPr>
                <w:rFonts w:ascii="宋体" w:hAnsi="宋体" w:cs="宋体"/>
                <w:color w:val="auto"/>
                <w:sz w:val="24"/>
                <w:highlight w:val="none"/>
              </w:rPr>
            </w:pPr>
            <w:r>
              <w:rPr>
                <w:rFonts w:ascii="宋体" w:hAnsi="宋体" w:cs="宋体"/>
                <w:color w:val="auto"/>
                <w:sz w:val="24"/>
                <w:highlight w:val="none"/>
              </w:rPr>
              <w:t>响应文件递交地点及截止时间</w:t>
            </w:r>
          </w:p>
        </w:tc>
        <w:tc>
          <w:tcPr>
            <w:tcW w:w="7304" w:type="dxa"/>
            <w:noWrap w:val="0"/>
            <w:vAlign w:val="center"/>
          </w:tcPr>
          <w:p w14:paraId="4AED3CD6">
            <w:pPr>
              <w:spacing w:line="560" w:lineRule="exact"/>
              <w:rPr>
                <w:rFonts w:ascii="宋体" w:hAnsi="宋体" w:cs="宋体"/>
                <w:color w:val="auto"/>
                <w:sz w:val="24"/>
                <w:highlight w:val="none"/>
              </w:rPr>
            </w:pPr>
            <w:r>
              <w:rPr>
                <w:rFonts w:ascii="宋体" w:hAnsi="宋体" w:cs="宋体"/>
                <w:color w:val="auto"/>
                <w:sz w:val="24"/>
                <w:highlight w:val="none"/>
              </w:rPr>
              <w:t>递交地点：</w:t>
            </w:r>
            <w:r>
              <w:rPr>
                <w:rFonts w:hint="eastAsia" w:ascii="宋体" w:hAnsi="宋体" w:cs="宋体"/>
                <w:color w:val="auto"/>
                <w:sz w:val="24"/>
                <w:highlight w:val="none"/>
                <w:lang w:eastAsia="zh-CN"/>
              </w:rPr>
              <w:t>邹城市钢山街道公共资源交易中心开标室</w:t>
            </w:r>
          </w:p>
          <w:p w14:paraId="28733A14">
            <w:pPr>
              <w:spacing w:line="560" w:lineRule="exact"/>
              <w:rPr>
                <w:rFonts w:ascii="宋体" w:hAnsi="宋体" w:cs="宋体"/>
                <w:color w:val="auto"/>
                <w:sz w:val="24"/>
                <w:highlight w:val="none"/>
              </w:rPr>
            </w:pPr>
            <w:r>
              <w:rPr>
                <w:rFonts w:ascii="宋体" w:hAnsi="宋体" w:cs="宋体"/>
                <w:color w:val="auto"/>
                <w:sz w:val="24"/>
                <w:highlight w:val="none"/>
              </w:rPr>
              <w:t>截止时间：</w:t>
            </w:r>
            <w:r>
              <w:rPr>
                <w:rFonts w:hint="eastAsia" w:ascii="宋体" w:hAnsi="宋体" w:cs="宋体"/>
                <w:color w:val="auto"/>
                <w:sz w:val="24"/>
                <w:highlight w:val="none"/>
                <w:lang w:eastAsia="zh-CN"/>
              </w:rPr>
              <w:t>2025年07月28日09时30分</w:t>
            </w:r>
          </w:p>
        </w:tc>
      </w:tr>
      <w:tr w14:paraId="2C022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5D80698F">
            <w:pPr>
              <w:widowControl/>
              <w:spacing w:line="560" w:lineRule="exact"/>
              <w:jc w:val="center"/>
              <w:textAlignment w:val="center"/>
              <w:rPr>
                <w:rFonts w:hint="eastAsia" w:ascii="宋体" w:hAnsi="宋体" w:eastAsia="宋体" w:cs="宋体"/>
                <w:color w:val="auto"/>
                <w:sz w:val="24"/>
                <w:highlight w:val="none"/>
                <w:lang w:eastAsia="zh-CN"/>
              </w:rPr>
            </w:pPr>
            <w:r>
              <w:rPr>
                <w:rFonts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4</w:t>
            </w:r>
          </w:p>
        </w:tc>
        <w:tc>
          <w:tcPr>
            <w:tcW w:w="1590" w:type="dxa"/>
            <w:noWrap w:val="0"/>
            <w:vAlign w:val="center"/>
          </w:tcPr>
          <w:p w14:paraId="604EAA8F">
            <w:pPr>
              <w:spacing w:line="560" w:lineRule="exact"/>
              <w:jc w:val="center"/>
              <w:rPr>
                <w:rFonts w:ascii="宋体" w:hAnsi="宋体" w:cs="宋体"/>
                <w:color w:val="auto"/>
                <w:sz w:val="24"/>
                <w:highlight w:val="none"/>
              </w:rPr>
            </w:pPr>
            <w:r>
              <w:rPr>
                <w:rFonts w:ascii="宋体" w:hAnsi="宋体" w:cs="宋体"/>
                <w:color w:val="auto"/>
                <w:sz w:val="24"/>
                <w:highlight w:val="none"/>
              </w:rPr>
              <w:t>磋商时间及地点</w:t>
            </w:r>
          </w:p>
        </w:tc>
        <w:tc>
          <w:tcPr>
            <w:tcW w:w="7304" w:type="dxa"/>
            <w:noWrap w:val="0"/>
            <w:vAlign w:val="center"/>
          </w:tcPr>
          <w:p w14:paraId="597CDAF4">
            <w:pPr>
              <w:spacing w:line="560" w:lineRule="exact"/>
              <w:rPr>
                <w:rFonts w:ascii="宋体" w:hAnsi="宋体" w:cs="宋体"/>
                <w:bCs/>
                <w:color w:val="auto"/>
                <w:sz w:val="24"/>
                <w:highlight w:val="none"/>
              </w:rPr>
            </w:pPr>
            <w:r>
              <w:rPr>
                <w:rFonts w:ascii="宋体" w:hAnsi="宋体" w:cs="宋体"/>
                <w:color w:val="auto"/>
                <w:sz w:val="24"/>
                <w:highlight w:val="none"/>
              </w:rPr>
              <w:t>磋商时间：</w:t>
            </w:r>
            <w:r>
              <w:rPr>
                <w:rFonts w:hint="eastAsia" w:ascii="宋体" w:hAnsi="宋体" w:cs="宋体"/>
                <w:color w:val="auto"/>
                <w:sz w:val="24"/>
                <w:highlight w:val="none"/>
                <w:lang w:eastAsia="zh-CN"/>
              </w:rPr>
              <w:t>2025年07月28日09时30分</w:t>
            </w:r>
          </w:p>
          <w:p w14:paraId="7BA59621">
            <w:pPr>
              <w:spacing w:line="560" w:lineRule="exact"/>
              <w:rPr>
                <w:rFonts w:ascii="宋体" w:hAnsi="宋体" w:cs="宋体"/>
                <w:color w:val="auto"/>
                <w:sz w:val="24"/>
                <w:highlight w:val="none"/>
              </w:rPr>
            </w:pPr>
            <w:r>
              <w:rPr>
                <w:rFonts w:ascii="宋体" w:hAnsi="宋体" w:cs="宋体"/>
                <w:color w:val="auto"/>
                <w:sz w:val="24"/>
                <w:highlight w:val="none"/>
              </w:rPr>
              <w:t>磋商地点：</w:t>
            </w:r>
            <w:r>
              <w:rPr>
                <w:rFonts w:hint="eastAsia" w:ascii="宋体" w:hAnsi="宋体" w:cs="宋体"/>
                <w:color w:val="auto"/>
                <w:sz w:val="24"/>
                <w:highlight w:val="none"/>
                <w:lang w:eastAsia="zh-CN"/>
              </w:rPr>
              <w:t>邹城市钢山街道公共资源交易中心开标室</w:t>
            </w:r>
          </w:p>
        </w:tc>
      </w:tr>
      <w:tr w14:paraId="499B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4DE281DF">
            <w:pPr>
              <w:widowControl/>
              <w:spacing w:line="560" w:lineRule="exact"/>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kern w:val="0"/>
                <w:sz w:val="24"/>
                <w:highlight w:val="none"/>
                <w:lang w:val="en-US" w:eastAsia="zh-CN" w:bidi="ar"/>
              </w:rPr>
              <w:t>15</w:t>
            </w:r>
          </w:p>
        </w:tc>
        <w:tc>
          <w:tcPr>
            <w:tcW w:w="1590" w:type="dxa"/>
            <w:noWrap w:val="0"/>
            <w:vAlign w:val="center"/>
          </w:tcPr>
          <w:p w14:paraId="195C216E">
            <w:pPr>
              <w:spacing w:line="560" w:lineRule="exact"/>
              <w:jc w:val="center"/>
              <w:rPr>
                <w:rFonts w:ascii="宋体" w:hAnsi="宋体" w:cs="宋体"/>
                <w:color w:val="auto"/>
                <w:sz w:val="24"/>
                <w:highlight w:val="none"/>
              </w:rPr>
            </w:pPr>
            <w:r>
              <w:rPr>
                <w:rFonts w:ascii="宋体" w:hAnsi="宋体" w:cs="宋体"/>
                <w:color w:val="auto"/>
                <w:sz w:val="24"/>
                <w:highlight w:val="none"/>
              </w:rPr>
              <w:t>成交原则</w:t>
            </w:r>
          </w:p>
        </w:tc>
        <w:tc>
          <w:tcPr>
            <w:tcW w:w="7304" w:type="dxa"/>
            <w:noWrap w:val="0"/>
            <w:vAlign w:val="center"/>
          </w:tcPr>
          <w:p w14:paraId="2F04AB63">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本项目采用综合评分法，是指响应文件满足磋商文件全部实质性要求且按评审因素的量化指标评审得分最高的磋商响应方为成交候选磋商响应方的评审方法。</w:t>
            </w:r>
          </w:p>
          <w:p w14:paraId="33F18C12">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总得分相同者，总报价低的名次在前；报价得分相同的，技术得分高者排名优先，并依照商务、服务的分项得分优先次序类推。</w:t>
            </w:r>
          </w:p>
        </w:tc>
      </w:tr>
      <w:tr w14:paraId="013A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3D660C8E">
            <w:pPr>
              <w:widowControl/>
              <w:spacing w:line="560" w:lineRule="exact"/>
              <w:jc w:val="center"/>
              <w:textAlignment w:val="center"/>
              <w:rPr>
                <w:rFonts w:hint="eastAsia" w:ascii="宋体" w:hAnsi="宋体" w:eastAsia="宋体" w:cs="宋体"/>
                <w:color w:val="auto"/>
                <w:sz w:val="24"/>
                <w:highlight w:val="none"/>
                <w:lang w:eastAsia="zh-CN"/>
              </w:rPr>
            </w:pPr>
            <w:r>
              <w:rPr>
                <w:rFonts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6</w:t>
            </w:r>
          </w:p>
        </w:tc>
        <w:tc>
          <w:tcPr>
            <w:tcW w:w="1590" w:type="dxa"/>
            <w:noWrap w:val="0"/>
            <w:vAlign w:val="center"/>
          </w:tcPr>
          <w:p w14:paraId="2B725304">
            <w:pPr>
              <w:spacing w:line="560" w:lineRule="exact"/>
              <w:jc w:val="center"/>
              <w:rPr>
                <w:rFonts w:ascii="宋体" w:hAnsi="宋体" w:cs="宋体"/>
                <w:color w:val="auto"/>
                <w:sz w:val="24"/>
                <w:highlight w:val="none"/>
              </w:rPr>
            </w:pPr>
            <w:r>
              <w:rPr>
                <w:rFonts w:ascii="宋体" w:hAnsi="宋体" w:cs="宋体"/>
                <w:color w:val="auto"/>
                <w:sz w:val="24"/>
                <w:highlight w:val="none"/>
              </w:rPr>
              <w:t>磋商采购</w:t>
            </w:r>
          </w:p>
          <w:p w14:paraId="0F912815">
            <w:pPr>
              <w:spacing w:line="560" w:lineRule="exact"/>
              <w:jc w:val="center"/>
              <w:rPr>
                <w:rFonts w:ascii="宋体" w:hAnsi="宋体" w:cs="宋体"/>
                <w:color w:val="auto"/>
                <w:sz w:val="24"/>
                <w:highlight w:val="none"/>
              </w:rPr>
            </w:pPr>
            <w:r>
              <w:rPr>
                <w:rFonts w:ascii="宋体" w:hAnsi="宋体" w:cs="宋体"/>
                <w:color w:val="auto"/>
                <w:sz w:val="24"/>
                <w:highlight w:val="none"/>
              </w:rPr>
              <w:t>预算</w:t>
            </w:r>
          </w:p>
        </w:tc>
        <w:tc>
          <w:tcPr>
            <w:tcW w:w="7304" w:type="dxa"/>
            <w:noWrap w:val="0"/>
            <w:vAlign w:val="center"/>
          </w:tcPr>
          <w:p w14:paraId="2BF9A884">
            <w:pPr>
              <w:spacing w:line="560" w:lineRule="exact"/>
              <w:rPr>
                <w:rFonts w:ascii="宋体" w:hAnsi="宋体" w:cs="宋体"/>
                <w:b/>
                <w:color w:val="auto"/>
                <w:kern w:val="0"/>
                <w:sz w:val="24"/>
                <w:highlight w:val="none"/>
              </w:rPr>
            </w:pPr>
            <w:r>
              <w:rPr>
                <w:rFonts w:ascii="宋体" w:hAnsi="宋体" w:cs="宋体"/>
                <w:b/>
                <w:color w:val="auto"/>
                <w:kern w:val="0"/>
                <w:sz w:val="24"/>
                <w:highlight w:val="none"/>
              </w:rPr>
              <w:t>本次磋商设采购预算价</w:t>
            </w:r>
            <w:r>
              <w:rPr>
                <w:rFonts w:hint="eastAsia" w:ascii="宋体" w:hAnsi="宋体" w:cs="宋体"/>
                <w:b/>
                <w:color w:val="auto"/>
                <w:kern w:val="0"/>
                <w:sz w:val="24"/>
                <w:highlight w:val="none"/>
                <w:lang w:val="en-US" w:eastAsia="zh-CN"/>
              </w:rPr>
              <w:t>278000.00</w:t>
            </w:r>
            <w:r>
              <w:rPr>
                <w:rFonts w:ascii="宋体" w:hAnsi="宋体" w:cs="宋体"/>
                <w:b/>
                <w:color w:val="auto"/>
                <w:kern w:val="0"/>
                <w:sz w:val="24"/>
                <w:highlight w:val="none"/>
              </w:rPr>
              <w:t>元；</w:t>
            </w:r>
          </w:p>
          <w:p w14:paraId="1A06756F">
            <w:pPr>
              <w:spacing w:line="560" w:lineRule="exact"/>
              <w:rPr>
                <w:rFonts w:ascii="宋体" w:hAnsi="宋体" w:cs="宋体"/>
                <w:bCs/>
                <w:color w:val="auto"/>
                <w:kern w:val="0"/>
                <w:sz w:val="24"/>
                <w:highlight w:val="none"/>
              </w:rPr>
            </w:pPr>
            <w:r>
              <w:rPr>
                <w:rFonts w:ascii="宋体" w:hAnsi="宋体" w:cs="宋体"/>
                <w:bCs/>
                <w:color w:val="auto"/>
                <w:kern w:val="0"/>
                <w:sz w:val="24"/>
                <w:highlight w:val="none"/>
              </w:rPr>
              <w:t>采购预算价是采购人对采购项目期望的最高限价，磋商响应方的初次报价和最终报价均不得高于采购预算价，磋商响应方报价高于采购预算价的，作无效标书处理。</w:t>
            </w:r>
          </w:p>
        </w:tc>
      </w:tr>
      <w:tr w14:paraId="7F5D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Merge w:val="restart"/>
            <w:noWrap w:val="0"/>
            <w:vAlign w:val="center"/>
          </w:tcPr>
          <w:p w14:paraId="2F2A95B7">
            <w:pPr>
              <w:widowControl/>
              <w:spacing w:line="560" w:lineRule="exact"/>
              <w:jc w:val="center"/>
              <w:textAlignment w:val="center"/>
              <w:rPr>
                <w:rFonts w:hint="eastAsia" w:ascii="宋体" w:hAnsi="宋体" w:eastAsia="宋体" w:cs="宋体"/>
                <w:color w:val="auto"/>
                <w:sz w:val="24"/>
                <w:highlight w:val="none"/>
                <w:lang w:eastAsia="zh-CN"/>
              </w:rPr>
            </w:pPr>
            <w:r>
              <w:rPr>
                <w:rFonts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7</w:t>
            </w:r>
          </w:p>
        </w:tc>
        <w:tc>
          <w:tcPr>
            <w:tcW w:w="1590" w:type="dxa"/>
            <w:noWrap w:val="0"/>
            <w:vAlign w:val="center"/>
          </w:tcPr>
          <w:p w14:paraId="543665DA">
            <w:pPr>
              <w:spacing w:line="560" w:lineRule="exact"/>
              <w:jc w:val="center"/>
              <w:rPr>
                <w:rFonts w:ascii="宋体" w:hAnsi="宋体" w:cs="宋体"/>
                <w:color w:val="auto"/>
                <w:sz w:val="24"/>
                <w:highlight w:val="none"/>
              </w:rPr>
            </w:pPr>
            <w:r>
              <w:rPr>
                <w:rFonts w:ascii="宋体" w:hAnsi="宋体" w:cs="宋体"/>
                <w:color w:val="auto"/>
                <w:sz w:val="24"/>
                <w:highlight w:val="none"/>
              </w:rPr>
              <w:t>质疑投诉内容</w:t>
            </w:r>
          </w:p>
        </w:tc>
        <w:tc>
          <w:tcPr>
            <w:tcW w:w="7304" w:type="dxa"/>
            <w:noWrap w:val="0"/>
            <w:vAlign w:val="center"/>
          </w:tcPr>
          <w:p w14:paraId="03EEF1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根据《政府采购法实施条例》第二十条规定：采购人或者采购代理机构有下列情形之一的，属于以不合理的条件对供应商实行差别待遇或者歧视待遇：潜在供应商（供应商）可向有关部门提起质疑、投诉：</w:t>
            </w:r>
          </w:p>
          <w:p w14:paraId="7EA29B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（一）就同一采购项目向供应商提供有差别的项目信息；</w:t>
            </w:r>
          </w:p>
          <w:p w14:paraId="7FCAEB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（二）设定的资格、技术、商务条件与采购项目的具体特点和实际需要不相适应或者与合同履行无关；</w:t>
            </w:r>
          </w:p>
          <w:p w14:paraId="3EBDAA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（三）采购需求中的技术、服务等要求指向特定供应商、特定产品；</w:t>
            </w:r>
          </w:p>
          <w:p w14:paraId="13E7AA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（四）以特定行政区域或者特定行业的业绩、奖项作为加分条件或者中标、成交条件；</w:t>
            </w:r>
          </w:p>
          <w:p w14:paraId="21ED1C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（五）对供应商采取不同的资格审查或者评审标准；</w:t>
            </w:r>
          </w:p>
          <w:p w14:paraId="277E31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（六）限定或者指定特定的专利、商标、品牌或者供应商；</w:t>
            </w:r>
          </w:p>
          <w:p w14:paraId="098253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（七）非法限定供应商的所有制形式、组织形式或者所在地；</w:t>
            </w:r>
          </w:p>
          <w:p w14:paraId="047C02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（八）以其他不合理条件限制或者排斥潜在供应商。</w:t>
            </w:r>
          </w:p>
        </w:tc>
      </w:tr>
      <w:tr w14:paraId="5B046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Merge w:val="continue"/>
            <w:noWrap w:val="0"/>
            <w:vAlign w:val="center"/>
          </w:tcPr>
          <w:p w14:paraId="1ACE2929">
            <w:pPr>
              <w:spacing w:line="560" w:lineRule="exact"/>
              <w:jc w:val="center"/>
              <w:rPr>
                <w:rFonts w:ascii="宋体" w:hAnsi="宋体" w:cs="宋体"/>
                <w:color w:val="auto"/>
                <w:sz w:val="24"/>
                <w:highlight w:val="none"/>
              </w:rPr>
            </w:pPr>
          </w:p>
        </w:tc>
        <w:tc>
          <w:tcPr>
            <w:tcW w:w="1590" w:type="dxa"/>
            <w:noWrap w:val="0"/>
            <w:vAlign w:val="center"/>
          </w:tcPr>
          <w:p w14:paraId="6C08B196">
            <w:pPr>
              <w:spacing w:line="560" w:lineRule="exact"/>
              <w:jc w:val="center"/>
              <w:rPr>
                <w:rFonts w:ascii="宋体" w:hAnsi="宋体" w:cs="宋体"/>
                <w:color w:val="auto"/>
                <w:sz w:val="24"/>
                <w:highlight w:val="none"/>
              </w:rPr>
            </w:pPr>
            <w:r>
              <w:rPr>
                <w:rFonts w:ascii="宋体" w:hAnsi="宋体" w:cs="宋体"/>
                <w:color w:val="auto"/>
                <w:sz w:val="24"/>
                <w:highlight w:val="none"/>
              </w:rPr>
              <w:t>质疑方式及电话</w:t>
            </w:r>
          </w:p>
        </w:tc>
        <w:tc>
          <w:tcPr>
            <w:tcW w:w="7304" w:type="dxa"/>
            <w:noWrap w:val="0"/>
            <w:vAlign w:val="center"/>
          </w:tcPr>
          <w:p w14:paraId="6CC0EB3A">
            <w:pPr>
              <w:spacing w:line="560" w:lineRule="exact"/>
              <w:rPr>
                <w:rFonts w:hint="eastAsia" w:ascii="宋体" w:hAnsi="宋体" w:eastAsia="宋体" w:cs="宋体"/>
                <w:color w:val="auto"/>
                <w:sz w:val="24"/>
                <w:highlight w:val="none"/>
                <w:lang w:eastAsia="zh-CN"/>
              </w:rPr>
            </w:pPr>
            <w:r>
              <w:rPr>
                <w:rFonts w:ascii="宋体" w:hAnsi="宋体" w:cs="宋体"/>
                <w:color w:val="auto"/>
                <w:sz w:val="24"/>
                <w:highlight w:val="none"/>
              </w:rPr>
              <w:t>采 购 人：</w:t>
            </w:r>
            <w:r>
              <w:rPr>
                <w:rFonts w:hint="eastAsia" w:ascii="宋体" w:hAnsi="宋体" w:cs="宋体"/>
                <w:color w:val="auto"/>
                <w:sz w:val="24"/>
                <w:highlight w:val="none"/>
                <w:lang w:eastAsia="zh-CN"/>
              </w:rPr>
              <w:t>邹城市钢山街道龙山社区居民委员会</w:t>
            </w:r>
          </w:p>
          <w:p w14:paraId="28029AA1">
            <w:pPr>
              <w:spacing w:line="560" w:lineRule="exact"/>
              <w:rPr>
                <w:rFonts w:ascii="宋体" w:hAnsi="宋体" w:cs="宋体"/>
                <w:color w:val="auto"/>
                <w:sz w:val="24"/>
                <w:highlight w:val="none"/>
              </w:rPr>
            </w:pPr>
            <w:r>
              <w:rPr>
                <w:rFonts w:ascii="宋体" w:hAnsi="宋体" w:cs="宋体"/>
                <w:color w:val="auto"/>
                <w:sz w:val="24"/>
                <w:highlight w:val="none"/>
              </w:rPr>
              <w:t>联 系 人：</w:t>
            </w:r>
            <w:r>
              <w:rPr>
                <w:rFonts w:hint="eastAsia" w:ascii="宋体" w:hAnsi="宋体" w:cs="宋体"/>
                <w:color w:val="auto"/>
                <w:sz w:val="24"/>
                <w:highlight w:val="none"/>
                <w:lang w:eastAsia="zh-CN"/>
              </w:rPr>
              <w:t>王主任</w:t>
            </w:r>
            <w:r>
              <w:rPr>
                <w:rFonts w:ascii="宋体" w:hAnsi="宋体" w:cs="宋体"/>
                <w:color w:val="auto"/>
                <w:sz w:val="24"/>
                <w:highlight w:val="none"/>
              </w:rPr>
              <w:t xml:space="preserve"> </w:t>
            </w:r>
          </w:p>
          <w:p w14:paraId="1805DE26">
            <w:pPr>
              <w:spacing w:line="560" w:lineRule="exact"/>
              <w:rPr>
                <w:rFonts w:ascii="宋体" w:hAnsi="宋体" w:cs="宋体"/>
                <w:color w:val="auto"/>
                <w:sz w:val="24"/>
                <w:highlight w:val="none"/>
              </w:rPr>
            </w:pPr>
            <w:r>
              <w:rPr>
                <w:rFonts w:ascii="宋体" w:hAnsi="宋体" w:cs="宋体"/>
                <w:color w:val="auto"/>
                <w:sz w:val="24"/>
                <w:highlight w:val="none"/>
              </w:rPr>
              <w:t>联系电话：</w:t>
            </w:r>
            <w:r>
              <w:rPr>
                <w:rFonts w:hint="eastAsia" w:ascii="宋体" w:hAnsi="宋体" w:cs="宋体"/>
                <w:color w:val="auto"/>
                <w:sz w:val="24"/>
                <w:highlight w:val="none"/>
                <w:lang w:eastAsia="zh-CN"/>
              </w:rPr>
              <w:t>18053725683</w:t>
            </w:r>
          </w:p>
          <w:p w14:paraId="26ED4BF9">
            <w:pPr>
              <w:spacing w:line="560" w:lineRule="exact"/>
              <w:rPr>
                <w:rFonts w:hint="eastAsia" w:ascii="宋体" w:hAnsi="宋体" w:eastAsia="宋体" w:cs="宋体"/>
                <w:color w:val="auto"/>
                <w:sz w:val="24"/>
                <w:highlight w:val="none"/>
                <w:lang w:eastAsia="zh-CN"/>
              </w:rPr>
            </w:pPr>
            <w:r>
              <w:rPr>
                <w:rFonts w:ascii="宋体" w:hAnsi="宋体" w:cs="宋体"/>
                <w:color w:val="auto"/>
                <w:sz w:val="24"/>
                <w:highlight w:val="none"/>
              </w:rPr>
              <w:t>代理机构：</w:t>
            </w:r>
            <w:r>
              <w:rPr>
                <w:rFonts w:hint="eastAsia" w:ascii="宋体" w:hAnsi="宋体" w:cs="宋体"/>
                <w:color w:val="auto"/>
                <w:sz w:val="24"/>
                <w:highlight w:val="none"/>
                <w:lang w:eastAsia="zh-CN"/>
              </w:rPr>
              <w:t>济宁志合工程咨询有限公司</w:t>
            </w:r>
          </w:p>
          <w:p w14:paraId="76A01F1F">
            <w:pPr>
              <w:spacing w:line="560" w:lineRule="exact"/>
              <w:rPr>
                <w:rFonts w:hint="eastAsia" w:ascii="宋体" w:hAnsi="宋体" w:eastAsia="宋体" w:cs="宋体"/>
                <w:color w:val="auto"/>
                <w:sz w:val="24"/>
                <w:highlight w:val="none"/>
                <w:lang w:eastAsia="zh-CN"/>
              </w:rPr>
            </w:pPr>
            <w:r>
              <w:rPr>
                <w:rFonts w:ascii="宋体" w:hAnsi="宋体" w:cs="宋体"/>
                <w:color w:val="auto"/>
                <w:sz w:val="24"/>
                <w:highlight w:val="none"/>
              </w:rPr>
              <w:t>联 系 人：</w:t>
            </w:r>
            <w:r>
              <w:rPr>
                <w:rFonts w:hint="eastAsia" w:ascii="宋体" w:hAnsi="宋体" w:cs="宋体"/>
                <w:color w:val="auto"/>
                <w:sz w:val="24"/>
                <w:highlight w:val="none"/>
                <w:lang w:eastAsia="zh-CN"/>
              </w:rPr>
              <w:t>高德鑫</w:t>
            </w:r>
          </w:p>
          <w:p w14:paraId="0AC4ADFC">
            <w:pPr>
              <w:spacing w:line="560" w:lineRule="exact"/>
              <w:rPr>
                <w:rFonts w:hint="eastAsia" w:ascii="宋体" w:hAnsi="宋体" w:eastAsia="宋体" w:cs="宋体"/>
                <w:color w:val="auto"/>
                <w:sz w:val="24"/>
                <w:highlight w:val="none"/>
                <w:lang w:eastAsia="zh-CN"/>
              </w:rPr>
            </w:pPr>
            <w:r>
              <w:rPr>
                <w:rFonts w:ascii="宋体" w:hAnsi="宋体" w:cs="宋体"/>
                <w:color w:val="auto"/>
                <w:sz w:val="24"/>
                <w:highlight w:val="none"/>
              </w:rPr>
              <w:t>联系电话：</w:t>
            </w:r>
            <w:r>
              <w:rPr>
                <w:rFonts w:hint="eastAsia" w:ascii="宋体" w:hAnsi="宋体" w:cs="宋体"/>
                <w:color w:val="auto"/>
                <w:sz w:val="24"/>
                <w:highlight w:val="none"/>
                <w:lang w:eastAsia="zh-CN"/>
              </w:rPr>
              <w:t>15054773787</w:t>
            </w:r>
          </w:p>
          <w:p w14:paraId="28577035">
            <w:pPr>
              <w:spacing w:line="560" w:lineRule="exact"/>
              <w:rPr>
                <w:rFonts w:ascii="宋体" w:hAnsi="宋体" w:cs="宋体"/>
                <w:color w:val="auto"/>
                <w:sz w:val="24"/>
                <w:highlight w:val="none"/>
              </w:rPr>
            </w:pPr>
            <w:r>
              <w:rPr>
                <w:rFonts w:ascii="宋体" w:hAnsi="宋体" w:cs="宋体"/>
                <w:color w:val="auto"/>
                <w:sz w:val="24"/>
                <w:highlight w:val="none"/>
              </w:rPr>
              <w:fldChar w:fldCharType="begin"/>
            </w:r>
            <w:r>
              <w:rPr>
                <w:rFonts w:ascii="宋体" w:hAnsi="宋体" w:cs="宋体"/>
                <w:color w:val="auto"/>
                <w:sz w:val="24"/>
                <w:highlight w:val="none"/>
              </w:rPr>
              <w:instrText xml:space="preserve"> HYPERLINK "mailto:所有质疑以书面形式递交，同时发邮件至tqzcxmb@163.com" </w:instrText>
            </w:r>
            <w:r>
              <w:rPr>
                <w:rFonts w:ascii="宋体" w:hAnsi="宋体" w:cs="宋体"/>
                <w:color w:val="auto"/>
                <w:sz w:val="24"/>
                <w:highlight w:val="none"/>
              </w:rPr>
              <w:fldChar w:fldCharType="separate"/>
            </w:r>
            <w:r>
              <w:rPr>
                <w:rStyle w:val="17"/>
                <w:rFonts w:ascii="宋体" w:hAnsi="宋体" w:cs="宋体"/>
                <w:color w:val="auto"/>
                <w:sz w:val="24"/>
                <w:szCs w:val="24"/>
                <w:highlight w:val="none"/>
              </w:rPr>
              <w:t>所有质疑以书面形式递交，同时发邮件至</w:t>
            </w:r>
            <w:r>
              <w:rPr>
                <w:rStyle w:val="17"/>
                <w:rFonts w:hint="eastAsia" w:ascii="宋体" w:hAnsi="宋体" w:cs="宋体"/>
                <w:color w:val="auto"/>
                <w:sz w:val="24"/>
                <w:szCs w:val="24"/>
                <w:highlight w:val="none"/>
                <w:lang w:eastAsia="zh-CN"/>
              </w:rPr>
              <w:t>a15953732018@163.com</w:t>
            </w:r>
            <w:r>
              <w:rPr>
                <w:rFonts w:ascii="宋体" w:hAnsi="宋体" w:cs="宋体"/>
                <w:color w:val="auto"/>
                <w:sz w:val="24"/>
                <w:highlight w:val="none"/>
              </w:rPr>
              <w:fldChar w:fldCharType="end"/>
            </w:r>
          </w:p>
          <w:p w14:paraId="2C797A9D">
            <w:pPr>
              <w:pStyle w:val="2"/>
              <w:rPr>
                <w:color w:val="auto"/>
                <w:highlight w:val="none"/>
              </w:rPr>
            </w:pPr>
            <w:r>
              <w:rPr>
                <w:rFonts w:ascii="宋体" w:hAnsi="宋体" w:cs="宋体"/>
                <w:color w:val="auto"/>
                <w:szCs w:val="24"/>
                <w:highlight w:val="none"/>
              </w:rPr>
              <w:t>所有投诉以书面形式递交</w:t>
            </w:r>
            <w:r>
              <w:rPr>
                <w:color w:val="auto"/>
                <w:highlight w:val="none"/>
              </w:rPr>
              <w:t>。</w:t>
            </w:r>
          </w:p>
        </w:tc>
      </w:tr>
      <w:tr w14:paraId="7811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57000061">
            <w:pPr>
              <w:widowControl/>
              <w:spacing w:line="560" w:lineRule="exact"/>
              <w:jc w:val="center"/>
              <w:textAlignment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18</w:t>
            </w:r>
          </w:p>
        </w:tc>
        <w:tc>
          <w:tcPr>
            <w:tcW w:w="1590" w:type="dxa"/>
            <w:noWrap w:val="0"/>
            <w:vAlign w:val="center"/>
          </w:tcPr>
          <w:p w14:paraId="4ADE0C0D">
            <w:pPr>
              <w:spacing w:line="560" w:lineRule="exact"/>
              <w:jc w:val="center"/>
              <w:rPr>
                <w:rFonts w:ascii="宋体" w:hAnsi="宋体" w:cs="宋体"/>
                <w:color w:val="auto"/>
                <w:sz w:val="24"/>
                <w:highlight w:val="none"/>
              </w:rPr>
            </w:pPr>
            <w:r>
              <w:rPr>
                <w:rFonts w:ascii="宋体" w:hAnsi="宋体" w:cs="宋体"/>
                <w:color w:val="auto"/>
                <w:sz w:val="24"/>
                <w:highlight w:val="none"/>
              </w:rPr>
              <w:t>代理服务费</w:t>
            </w:r>
          </w:p>
        </w:tc>
        <w:tc>
          <w:tcPr>
            <w:tcW w:w="7304" w:type="dxa"/>
            <w:noWrap w:val="0"/>
            <w:vAlign w:val="center"/>
          </w:tcPr>
          <w:p w14:paraId="661CB75B">
            <w:pPr>
              <w:spacing w:line="560" w:lineRule="exact"/>
              <w:rPr>
                <w:rFonts w:ascii="宋体" w:hAnsi="宋体" w:cs="宋体"/>
                <w:color w:val="auto"/>
                <w:sz w:val="24"/>
                <w:highlight w:val="none"/>
              </w:rPr>
            </w:pPr>
            <w:r>
              <w:rPr>
                <w:rFonts w:ascii="宋体" w:hAnsi="宋体" w:cs="宋体"/>
                <w:color w:val="auto"/>
                <w:sz w:val="24"/>
                <w:highlight w:val="none"/>
              </w:rPr>
              <w:t>本次磋商代理费由成交人支付，磋商代理费共计</w:t>
            </w:r>
            <w:bookmarkStart w:id="31" w:name="_GoBack"/>
            <w:bookmarkEnd w:id="31"/>
            <w:r>
              <w:rPr>
                <w:rFonts w:hint="eastAsia" w:ascii="宋体" w:hAnsi="宋体" w:cs="宋体"/>
                <w:color w:val="auto"/>
                <w:sz w:val="24"/>
                <w:highlight w:val="none"/>
                <w:lang w:val="en-US" w:eastAsia="zh-CN"/>
              </w:rPr>
              <w:t>4200.00元</w:t>
            </w:r>
            <w:r>
              <w:rPr>
                <w:rFonts w:ascii="宋体" w:hAnsi="宋体" w:cs="宋体"/>
                <w:color w:val="auto"/>
                <w:sz w:val="24"/>
                <w:highlight w:val="none"/>
              </w:rPr>
              <w:t>；成交通知书发出前，成交人从其账户一次性汇入代理机构指定账户。</w:t>
            </w:r>
          </w:p>
        </w:tc>
      </w:tr>
    </w:tbl>
    <w:p w14:paraId="0C22BF7E">
      <w:pPr>
        <w:tabs>
          <w:tab w:val="left" w:pos="315"/>
        </w:tabs>
        <w:spacing w:line="560" w:lineRule="exact"/>
        <w:jc w:val="center"/>
        <w:rPr>
          <w:rFonts w:ascii="宋体" w:hAnsi="宋体" w:cs="宋体"/>
          <w:b/>
          <w:color w:val="auto"/>
          <w:sz w:val="24"/>
          <w:highlight w:val="none"/>
        </w:rPr>
      </w:pPr>
      <w:r>
        <w:rPr>
          <w:rFonts w:ascii="宋体" w:hAnsi="宋体" w:cs="宋体"/>
          <w:b/>
          <w:color w:val="auto"/>
          <w:sz w:val="24"/>
          <w:highlight w:val="none"/>
        </w:rPr>
        <w:br w:type="page"/>
      </w:r>
      <w:r>
        <w:rPr>
          <w:rFonts w:ascii="宋体" w:hAnsi="宋体" w:cs="宋体"/>
          <w:b/>
          <w:color w:val="auto"/>
          <w:sz w:val="24"/>
          <w:highlight w:val="none"/>
        </w:rPr>
        <w:t>二、磋商响应方须知</w:t>
      </w:r>
    </w:p>
    <w:p w14:paraId="638C094D">
      <w:pPr>
        <w:tabs>
          <w:tab w:val="left" w:pos="315"/>
        </w:tabs>
        <w:spacing w:line="560" w:lineRule="exact"/>
        <w:ind w:firstLine="482" w:firstLineChars="200"/>
        <w:rPr>
          <w:rFonts w:ascii="宋体" w:hAnsi="宋体" w:cs="宋体"/>
          <w:b/>
          <w:color w:val="auto"/>
          <w:sz w:val="24"/>
          <w:highlight w:val="none"/>
        </w:rPr>
      </w:pPr>
      <w:r>
        <w:rPr>
          <w:rFonts w:ascii="宋体" w:hAnsi="宋体" w:cs="宋体"/>
          <w:b/>
          <w:color w:val="auto"/>
          <w:sz w:val="24"/>
          <w:highlight w:val="none"/>
        </w:rPr>
        <w:t>一、适用范围：</w:t>
      </w:r>
    </w:p>
    <w:p w14:paraId="69F9C072">
      <w:pPr>
        <w:tabs>
          <w:tab w:val="left" w:pos="315"/>
        </w:tabs>
        <w:spacing w:line="560" w:lineRule="exact"/>
        <w:ind w:right="-210" w:rightChars="-100" w:firstLine="480" w:firstLineChars="200"/>
        <w:rPr>
          <w:rFonts w:ascii="宋体" w:hAnsi="宋体" w:cs="宋体"/>
          <w:color w:val="auto"/>
          <w:sz w:val="24"/>
          <w:highlight w:val="none"/>
        </w:rPr>
      </w:pPr>
      <w:r>
        <w:rPr>
          <w:rFonts w:ascii="宋体" w:hAnsi="宋体" w:cs="宋体"/>
          <w:color w:val="auto"/>
          <w:sz w:val="24"/>
          <w:highlight w:val="none"/>
        </w:rPr>
        <w:t>本磋商文件仅适用于</w:t>
      </w:r>
      <w:r>
        <w:rPr>
          <w:rFonts w:hint="eastAsia" w:ascii="宋体" w:hAnsi="宋体" w:cs="宋体"/>
          <w:color w:val="auto"/>
          <w:sz w:val="24"/>
          <w:highlight w:val="none"/>
          <w:lang w:eastAsia="zh-CN"/>
        </w:rPr>
        <w:t>邹城市钢山街道邹鲁苑公园绿化养护管理服务项目</w:t>
      </w:r>
      <w:r>
        <w:rPr>
          <w:rFonts w:ascii="宋体" w:hAnsi="宋体" w:cs="宋体"/>
          <w:color w:val="auto"/>
          <w:sz w:val="24"/>
          <w:highlight w:val="none"/>
        </w:rPr>
        <w:t>竞争性磋商项目。</w:t>
      </w:r>
    </w:p>
    <w:p w14:paraId="3C45ADDC">
      <w:pPr>
        <w:tabs>
          <w:tab w:val="left" w:pos="315"/>
        </w:tabs>
        <w:spacing w:line="560" w:lineRule="exact"/>
        <w:ind w:firstLine="482" w:firstLineChars="200"/>
        <w:rPr>
          <w:rFonts w:ascii="宋体" w:hAnsi="宋体" w:cs="宋体"/>
          <w:b/>
          <w:color w:val="auto"/>
          <w:sz w:val="24"/>
          <w:highlight w:val="none"/>
        </w:rPr>
      </w:pPr>
      <w:r>
        <w:rPr>
          <w:rFonts w:ascii="宋体" w:hAnsi="宋体" w:cs="宋体"/>
          <w:b/>
          <w:color w:val="auto"/>
          <w:sz w:val="24"/>
          <w:highlight w:val="none"/>
        </w:rPr>
        <w:t>二、定义：</w:t>
      </w:r>
    </w:p>
    <w:p w14:paraId="0350D5C5">
      <w:pPr>
        <w:tabs>
          <w:tab w:val="left" w:pos="315"/>
        </w:tabs>
        <w:spacing w:line="560" w:lineRule="exact"/>
        <w:ind w:right="-210" w:rightChars="-100" w:firstLine="480" w:firstLineChars="200"/>
        <w:rPr>
          <w:rFonts w:ascii="宋体" w:hAnsi="宋体" w:cs="宋体"/>
          <w:color w:val="auto"/>
          <w:sz w:val="24"/>
          <w:highlight w:val="none"/>
        </w:rPr>
      </w:pPr>
      <w:r>
        <w:rPr>
          <w:rFonts w:ascii="宋体" w:hAnsi="宋体" w:cs="宋体"/>
          <w:color w:val="auto"/>
          <w:sz w:val="24"/>
          <w:highlight w:val="none"/>
        </w:rPr>
        <w:t>1、“采购人”系指：</w:t>
      </w:r>
      <w:r>
        <w:rPr>
          <w:rFonts w:hint="eastAsia" w:ascii="宋体" w:hAnsi="宋体" w:cs="宋体"/>
          <w:color w:val="auto"/>
          <w:sz w:val="24"/>
          <w:highlight w:val="none"/>
          <w:lang w:eastAsia="zh-CN"/>
        </w:rPr>
        <w:t>邹城市钢山街道龙山社区居民委员会</w:t>
      </w:r>
      <w:r>
        <w:rPr>
          <w:rFonts w:ascii="宋体" w:hAnsi="宋体" w:cs="宋体"/>
          <w:color w:val="auto"/>
          <w:sz w:val="24"/>
          <w:highlight w:val="none"/>
        </w:rPr>
        <w:t>；</w:t>
      </w:r>
    </w:p>
    <w:p w14:paraId="6A439E46">
      <w:pPr>
        <w:tabs>
          <w:tab w:val="left" w:pos="315"/>
        </w:tabs>
        <w:spacing w:line="560" w:lineRule="exact"/>
        <w:ind w:right="-210" w:rightChars="-100" w:firstLine="480" w:firstLineChars="200"/>
        <w:rPr>
          <w:rFonts w:ascii="宋体" w:hAnsi="宋体" w:cs="宋体"/>
          <w:color w:val="auto"/>
          <w:sz w:val="24"/>
          <w:highlight w:val="none"/>
        </w:rPr>
      </w:pPr>
      <w:r>
        <w:rPr>
          <w:rFonts w:ascii="宋体" w:hAnsi="宋体" w:cs="宋体"/>
          <w:color w:val="auto"/>
          <w:sz w:val="24"/>
          <w:highlight w:val="none"/>
        </w:rPr>
        <w:t>2、“代理机构”系指：</w:t>
      </w:r>
      <w:r>
        <w:rPr>
          <w:rFonts w:hint="eastAsia" w:ascii="宋体" w:hAnsi="宋体" w:cs="宋体"/>
          <w:color w:val="auto"/>
          <w:sz w:val="24"/>
          <w:highlight w:val="none"/>
          <w:lang w:eastAsia="zh-CN"/>
        </w:rPr>
        <w:t>济宁志合工程咨询有限公司</w:t>
      </w:r>
      <w:r>
        <w:rPr>
          <w:rFonts w:ascii="宋体" w:hAnsi="宋体" w:cs="宋体"/>
          <w:color w:val="auto"/>
          <w:sz w:val="24"/>
          <w:highlight w:val="none"/>
        </w:rPr>
        <w:t>；</w:t>
      </w:r>
    </w:p>
    <w:p w14:paraId="26B80764">
      <w:pPr>
        <w:tabs>
          <w:tab w:val="left" w:pos="315"/>
        </w:tabs>
        <w:spacing w:line="560" w:lineRule="exact"/>
        <w:ind w:right="-210" w:rightChars="-100" w:firstLine="480" w:firstLineChars="200"/>
        <w:rPr>
          <w:rFonts w:ascii="宋体" w:hAnsi="宋体" w:cs="宋体"/>
          <w:color w:val="auto"/>
          <w:sz w:val="24"/>
          <w:highlight w:val="none"/>
        </w:rPr>
      </w:pPr>
      <w:r>
        <w:rPr>
          <w:rFonts w:ascii="宋体" w:hAnsi="宋体" w:cs="宋体"/>
          <w:color w:val="auto"/>
          <w:sz w:val="24"/>
          <w:highlight w:val="none"/>
        </w:rPr>
        <w:t>3、“响应供应商”系指参与磋商并向采购人提交磋商响应文件的组织；</w:t>
      </w:r>
    </w:p>
    <w:p w14:paraId="20BD7ED2">
      <w:pPr>
        <w:tabs>
          <w:tab w:val="left" w:pos="315"/>
        </w:tabs>
        <w:spacing w:line="560" w:lineRule="exact"/>
        <w:ind w:right="-210" w:rightChars="-100" w:firstLine="480" w:firstLineChars="200"/>
        <w:rPr>
          <w:rFonts w:ascii="宋体" w:hAnsi="宋体" w:cs="宋体"/>
          <w:color w:val="auto"/>
          <w:sz w:val="24"/>
          <w:highlight w:val="none"/>
        </w:rPr>
      </w:pPr>
      <w:r>
        <w:rPr>
          <w:rFonts w:ascii="宋体" w:hAnsi="宋体" w:cs="宋体"/>
          <w:color w:val="auto"/>
          <w:sz w:val="24"/>
          <w:highlight w:val="none"/>
        </w:rPr>
        <w:t>4、“成交供应商”系指经法定程序确定并授予合同的响应磋商响应方。</w:t>
      </w:r>
    </w:p>
    <w:p w14:paraId="4880401B">
      <w:pPr>
        <w:tabs>
          <w:tab w:val="left" w:pos="315"/>
        </w:tabs>
        <w:spacing w:line="560" w:lineRule="exact"/>
        <w:ind w:firstLine="482" w:firstLineChars="200"/>
        <w:rPr>
          <w:rFonts w:ascii="宋体" w:hAnsi="宋体" w:cs="宋体"/>
          <w:b/>
          <w:color w:val="auto"/>
          <w:sz w:val="24"/>
          <w:highlight w:val="none"/>
        </w:rPr>
      </w:pPr>
      <w:r>
        <w:rPr>
          <w:rFonts w:ascii="宋体" w:hAnsi="宋体" w:cs="宋体"/>
          <w:b/>
          <w:color w:val="auto"/>
          <w:sz w:val="24"/>
          <w:highlight w:val="none"/>
        </w:rPr>
        <w:t>三、磋商响应方应具备的条件：</w:t>
      </w:r>
    </w:p>
    <w:p w14:paraId="554BE39C">
      <w:pPr>
        <w:widowControl/>
        <w:adjustRightInd w:val="0"/>
        <w:snapToGrid w:val="0"/>
        <w:spacing w:line="56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lang w:eastAsia="zh-CN"/>
        </w:rPr>
        <w:t>参照《政府采购法》</w:t>
      </w:r>
      <w:r>
        <w:rPr>
          <w:rFonts w:ascii="宋体" w:hAnsi="宋体" w:cs="宋体"/>
          <w:color w:val="auto"/>
          <w:kern w:val="0"/>
          <w:sz w:val="24"/>
          <w:highlight w:val="none"/>
        </w:rPr>
        <w:t>第二十二条规定的条件：</w:t>
      </w:r>
    </w:p>
    <w:p w14:paraId="53F1F3AE">
      <w:pPr>
        <w:widowControl/>
        <w:adjustRightInd w:val="0"/>
        <w:snapToGrid w:val="0"/>
        <w:spacing w:line="56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（一）具有独立承担民事责任的能力；</w:t>
      </w:r>
    </w:p>
    <w:p w14:paraId="6A89F3C7">
      <w:pPr>
        <w:widowControl/>
        <w:adjustRightInd w:val="0"/>
        <w:snapToGrid w:val="0"/>
        <w:spacing w:line="56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（二）具有良好的商业信誉和健全的财务会计制度；</w:t>
      </w:r>
    </w:p>
    <w:p w14:paraId="45A0507D">
      <w:pPr>
        <w:widowControl/>
        <w:adjustRightInd w:val="0"/>
        <w:snapToGrid w:val="0"/>
        <w:spacing w:line="56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（三）具有履行合同所必需的设备和专业技术能力；</w:t>
      </w:r>
    </w:p>
    <w:p w14:paraId="3F297CF4">
      <w:pPr>
        <w:widowControl/>
        <w:adjustRightInd w:val="0"/>
        <w:snapToGrid w:val="0"/>
        <w:spacing w:line="56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（四）有依法缴纳税收和社会保障资金的良好记录；</w:t>
      </w:r>
    </w:p>
    <w:p w14:paraId="7B443C46">
      <w:pPr>
        <w:widowControl/>
        <w:adjustRightInd w:val="0"/>
        <w:snapToGrid w:val="0"/>
        <w:spacing w:line="56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（五）参加政府采购活动前三年内，在经营活动中没有重大违法记录；</w:t>
      </w:r>
    </w:p>
    <w:p w14:paraId="14B741A4">
      <w:pPr>
        <w:widowControl/>
        <w:adjustRightInd w:val="0"/>
        <w:snapToGrid w:val="0"/>
        <w:spacing w:line="56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（六）法律、行政法规规定的其他条件。</w:t>
      </w:r>
    </w:p>
    <w:p w14:paraId="14DDE22E">
      <w:pPr>
        <w:widowControl/>
        <w:adjustRightInd w:val="0"/>
        <w:snapToGrid w:val="0"/>
        <w:spacing w:line="56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2、采购人可以根据采购项目的特殊要求，规定供应商的特定条件，但不得以不合理的条件对供应商实行差别待遇或者歧视待遇。</w:t>
      </w:r>
    </w:p>
    <w:p w14:paraId="056A331A">
      <w:pPr>
        <w:widowControl/>
        <w:adjustRightInd w:val="0"/>
        <w:snapToGrid w:val="0"/>
        <w:spacing w:line="56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2.1单位负责人为同一人或者存在控股、管理关系的不同单位，不得参加同一包投标或者未分包的同一招标项目投标。</w:t>
      </w:r>
    </w:p>
    <w:p w14:paraId="49115B82">
      <w:pPr>
        <w:widowControl/>
        <w:adjustRightInd w:val="0"/>
        <w:snapToGrid w:val="0"/>
        <w:spacing w:line="56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2.2除单一来源采购项目外，为采购项目提供整体设计、规范编制或者项目管理、监理、检测等服务的供应商，不得再参加该采购项目的其他采购活动。</w:t>
      </w:r>
    </w:p>
    <w:p w14:paraId="7DD4D09E">
      <w:pPr>
        <w:widowControl/>
        <w:adjustRightInd w:val="0"/>
        <w:snapToGrid w:val="0"/>
        <w:spacing w:line="56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2.3供应商须为</w:t>
      </w:r>
      <w:r>
        <w:rPr>
          <w:rFonts w:hint="eastAsia" w:ascii="宋体" w:hAnsi="宋体" w:cs="宋体"/>
          <w:color w:val="auto"/>
          <w:kern w:val="0"/>
          <w:sz w:val="24"/>
          <w:highlight w:val="none"/>
          <w:lang w:eastAsia="zh-CN"/>
        </w:rPr>
        <w:t>国内注册具有独立承担民事责任的能力，具备有效的营业执照，能够满足采购文件的要求；并在人员、设备、资金等方面具有相应的能力</w:t>
      </w:r>
      <w:r>
        <w:rPr>
          <w:rFonts w:ascii="宋体" w:hAnsi="宋体" w:cs="宋体"/>
          <w:color w:val="auto"/>
          <w:kern w:val="0"/>
          <w:sz w:val="24"/>
          <w:highlight w:val="none"/>
        </w:rPr>
        <w:t>。</w:t>
      </w:r>
    </w:p>
    <w:p w14:paraId="44A472EC">
      <w:pPr>
        <w:widowControl/>
        <w:adjustRightInd w:val="0"/>
        <w:snapToGrid w:val="0"/>
        <w:spacing w:line="56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lang w:val="en-US" w:eastAsia="zh-CN"/>
        </w:rPr>
        <w:t>4</w:t>
      </w:r>
      <w:r>
        <w:rPr>
          <w:rFonts w:ascii="宋体" w:hAnsi="宋体" w:cs="宋体"/>
          <w:color w:val="auto"/>
          <w:kern w:val="0"/>
          <w:sz w:val="24"/>
          <w:highlight w:val="none"/>
        </w:rPr>
        <w:t>本次竞争性磋商不接受联合体。</w:t>
      </w:r>
    </w:p>
    <w:p w14:paraId="12EE3748">
      <w:pPr>
        <w:tabs>
          <w:tab w:val="left" w:pos="315"/>
        </w:tabs>
        <w:spacing w:line="560" w:lineRule="exact"/>
        <w:ind w:right="-210" w:rightChars="-100" w:firstLine="482" w:firstLineChars="200"/>
        <w:rPr>
          <w:rFonts w:ascii="宋体" w:hAnsi="宋体" w:cs="宋体"/>
          <w:b/>
          <w:bCs/>
          <w:color w:val="auto"/>
          <w:sz w:val="24"/>
          <w:highlight w:val="none"/>
        </w:rPr>
      </w:pPr>
      <w:r>
        <w:rPr>
          <w:rFonts w:ascii="宋体" w:hAnsi="宋体" w:cs="宋体"/>
          <w:b/>
          <w:bCs/>
          <w:color w:val="auto"/>
          <w:sz w:val="24"/>
          <w:highlight w:val="none"/>
        </w:rPr>
        <w:t>2.</w:t>
      </w:r>
      <w:r>
        <w:rPr>
          <w:rFonts w:hint="eastAsia" w:ascii="宋体" w:hAnsi="宋体" w:cs="宋体"/>
          <w:b/>
          <w:bCs/>
          <w:color w:val="auto"/>
          <w:sz w:val="24"/>
          <w:highlight w:val="none"/>
          <w:lang w:val="en-US" w:eastAsia="zh-CN"/>
        </w:rPr>
        <w:t>5</w:t>
      </w:r>
      <w:r>
        <w:rPr>
          <w:rFonts w:ascii="宋体" w:hAnsi="宋体" w:cs="宋体"/>
          <w:b/>
          <w:bCs/>
          <w:color w:val="auto"/>
          <w:sz w:val="24"/>
          <w:highlight w:val="none"/>
        </w:rPr>
        <w:t>磋商响应方在递交响应文件时需同时提供：</w:t>
      </w:r>
    </w:p>
    <w:p w14:paraId="358AB6E8">
      <w:pPr>
        <w:tabs>
          <w:tab w:val="left" w:pos="315"/>
        </w:tabs>
        <w:spacing w:line="560" w:lineRule="exact"/>
        <w:ind w:right="-210" w:rightChars="-100" w:firstLine="482" w:firstLineChars="200"/>
        <w:rPr>
          <w:rFonts w:ascii="宋体" w:hAnsi="宋体" w:cs="宋体"/>
          <w:b/>
          <w:bCs/>
          <w:color w:val="auto"/>
          <w:sz w:val="24"/>
          <w:highlight w:val="none"/>
        </w:rPr>
      </w:pPr>
      <w:r>
        <w:rPr>
          <w:rFonts w:ascii="宋体" w:hAnsi="宋体" w:cs="宋体"/>
          <w:b/>
          <w:bCs/>
          <w:color w:val="auto"/>
          <w:sz w:val="24"/>
          <w:highlight w:val="none"/>
        </w:rPr>
        <w:t>2.</w:t>
      </w:r>
      <w:r>
        <w:rPr>
          <w:rFonts w:hint="eastAsia" w:ascii="宋体" w:hAnsi="宋体" w:cs="宋体"/>
          <w:b/>
          <w:bCs/>
          <w:color w:val="auto"/>
          <w:sz w:val="24"/>
          <w:highlight w:val="none"/>
          <w:lang w:val="en-US" w:eastAsia="zh-CN"/>
        </w:rPr>
        <w:t>5</w:t>
      </w:r>
      <w:r>
        <w:rPr>
          <w:rFonts w:ascii="宋体" w:hAnsi="宋体" w:cs="宋体"/>
          <w:b/>
          <w:bCs/>
          <w:color w:val="auto"/>
          <w:sz w:val="24"/>
          <w:highlight w:val="none"/>
        </w:rPr>
        <w:t>.1、本企业营业执照副本原件</w:t>
      </w:r>
      <w:r>
        <w:rPr>
          <w:rFonts w:hint="eastAsia" w:ascii="宋体" w:hAnsi="宋体" w:cs="宋体"/>
          <w:b/>
          <w:bCs/>
          <w:color w:val="auto"/>
          <w:sz w:val="24"/>
          <w:highlight w:val="none"/>
          <w:lang w:eastAsia="zh-CN"/>
        </w:rPr>
        <w:t>、</w:t>
      </w:r>
      <w:r>
        <w:rPr>
          <w:rFonts w:ascii="宋体" w:hAnsi="宋体" w:cs="宋体"/>
          <w:b/>
          <w:bCs/>
          <w:color w:val="auto"/>
          <w:sz w:val="24"/>
          <w:highlight w:val="none"/>
        </w:rPr>
        <w:t>法人授权委托书原件、法定代表人或授权委托人的有效身份证明原件；</w:t>
      </w:r>
    </w:p>
    <w:p w14:paraId="4B788977">
      <w:pPr>
        <w:tabs>
          <w:tab w:val="left" w:pos="315"/>
        </w:tabs>
        <w:spacing w:line="560" w:lineRule="exact"/>
        <w:ind w:right="-210" w:rightChars="-100" w:firstLine="482" w:firstLineChars="200"/>
        <w:rPr>
          <w:rFonts w:ascii="宋体" w:hAnsi="宋体" w:cs="宋体"/>
          <w:b/>
          <w:bCs/>
          <w:color w:val="auto"/>
          <w:sz w:val="24"/>
          <w:highlight w:val="none"/>
        </w:rPr>
      </w:pPr>
      <w:r>
        <w:rPr>
          <w:rFonts w:ascii="宋体" w:hAnsi="宋体" w:cs="宋体"/>
          <w:b/>
          <w:bCs/>
          <w:color w:val="auto"/>
          <w:sz w:val="24"/>
          <w:highlight w:val="none"/>
        </w:rPr>
        <w:t>2.</w:t>
      </w:r>
      <w:r>
        <w:rPr>
          <w:rFonts w:hint="eastAsia" w:ascii="宋体" w:hAnsi="宋体" w:cs="宋体"/>
          <w:b/>
          <w:bCs/>
          <w:color w:val="auto"/>
          <w:sz w:val="24"/>
          <w:highlight w:val="none"/>
          <w:lang w:val="en-US" w:eastAsia="zh-CN"/>
        </w:rPr>
        <w:t>5</w:t>
      </w:r>
      <w:r>
        <w:rPr>
          <w:rFonts w:ascii="宋体" w:hAnsi="宋体" w:cs="宋体"/>
          <w:b/>
          <w:bCs/>
          <w:color w:val="auto"/>
          <w:sz w:val="24"/>
          <w:highlight w:val="none"/>
        </w:rPr>
        <w:t>.2、</w:t>
      </w:r>
      <w:bookmarkStart w:id="12" w:name="OLE_LINK6"/>
      <w:r>
        <w:rPr>
          <w:rFonts w:hint="eastAsia" w:ascii="宋体" w:hAnsi="宋体" w:cs="宋体"/>
          <w:b/>
          <w:bCs/>
          <w:color w:val="auto"/>
          <w:sz w:val="24"/>
          <w:highlight w:val="none"/>
          <w:lang w:eastAsia="zh-CN"/>
        </w:rPr>
        <w:t>供应商缴纳税收和社会保障资金等证明告知承诺书</w:t>
      </w:r>
      <w:r>
        <w:rPr>
          <w:rFonts w:ascii="宋体" w:hAnsi="宋体" w:cs="宋体"/>
          <w:b/>
          <w:bCs/>
          <w:color w:val="auto"/>
          <w:sz w:val="24"/>
          <w:highlight w:val="none"/>
        </w:rPr>
        <w:t>；</w:t>
      </w:r>
    </w:p>
    <w:bookmarkEnd w:id="12"/>
    <w:p w14:paraId="295F1E8F">
      <w:pPr>
        <w:tabs>
          <w:tab w:val="left" w:pos="315"/>
        </w:tabs>
        <w:spacing w:line="560" w:lineRule="exact"/>
        <w:ind w:right="-210" w:rightChars="-100" w:firstLine="482" w:firstLineChars="200"/>
        <w:rPr>
          <w:rFonts w:ascii="宋体" w:hAnsi="宋体" w:cs="宋体"/>
          <w:b/>
          <w:bCs/>
          <w:color w:val="auto"/>
          <w:sz w:val="24"/>
          <w:highlight w:val="none"/>
        </w:rPr>
      </w:pPr>
      <w:r>
        <w:rPr>
          <w:rFonts w:ascii="宋体" w:hAnsi="宋体" w:cs="宋体"/>
          <w:b/>
          <w:bCs/>
          <w:color w:val="auto"/>
          <w:sz w:val="24"/>
          <w:highlight w:val="none"/>
        </w:rPr>
        <w:t>注：以上（2.</w:t>
      </w:r>
      <w:r>
        <w:rPr>
          <w:rFonts w:hint="eastAsia" w:ascii="宋体" w:hAnsi="宋体" w:cs="宋体"/>
          <w:b/>
          <w:bCs/>
          <w:color w:val="auto"/>
          <w:sz w:val="24"/>
          <w:highlight w:val="none"/>
          <w:lang w:val="en-US" w:eastAsia="zh-CN"/>
        </w:rPr>
        <w:t>5</w:t>
      </w:r>
      <w:r>
        <w:rPr>
          <w:rFonts w:ascii="宋体" w:hAnsi="宋体" w:cs="宋体"/>
          <w:b/>
          <w:bCs/>
          <w:color w:val="auto"/>
          <w:sz w:val="24"/>
          <w:highlight w:val="none"/>
        </w:rPr>
        <w:t>.1-2.</w:t>
      </w:r>
      <w:r>
        <w:rPr>
          <w:rFonts w:hint="eastAsia" w:ascii="宋体" w:hAnsi="宋体" w:cs="宋体"/>
          <w:b/>
          <w:bCs/>
          <w:color w:val="auto"/>
          <w:sz w:val="24"/>
          <w:highlight w:val="none"/>
          <w:lang w:val="en-US" w:eastAsia="zh-CN"/>
        </w:rPr>
        <w:t>5</w:t>
      </w:r>
      <w:r>
        <w:rPr>
          <w:rFonts w:ascii="宋体" w:hAnsi="宋体" w:cs="宋体"/>
          <w:b/>
          <w:bCs/>
          <w:color w:val="auto"/>
          <w:sz w:val="24"/>
          <w:highlight w:val="none"/>
        </w:rPr>
        <w:t>.2）证件，公证机关公证的有关证件的有效公证件原件视为与原件具有同等法律效力。未提供或未按要求提供原件的，按无效磋商响应文件处理。磋商响应方必须将上述资格证件单独包装，在递交响应文件时一并提交，否则将做无效响应文件处理。磋商响应方还应将涉及到评分标准里需要磋商小组验证的相关证明材料原件与上述资格证件统一包装，在递交磋商响应文件时一并提交。</w:t>
      </w:r>
    </w:p>
    <w:p w14:paraId="14141F7F">
      <w:pPr>
        <w:spacing w:line="560" w:lineRule="exact"/>
        <w:ind w:firstLine="482" w:firstLineChars="200"/>
        <w:rPr>
          <w:rFonts w:ascii="宋体" w:hAnsi="宋体" w:cs="宋体"/>
          <w:b/>
          <w:color w:val="auto"/>
          <w:sz w:val="24"/>
          <w:highlight w:val="none"/>
        </w:rPr>
      </w:pPr>
      <w:r>
        <w:rPr>
          <w:rFonts w:ascii="宋体" w:hAnsi="宋体" w:cs="宋体"/>
          <w:b/>
          <w:color w:val="auto"/>
          <w:sz w:val="24"/>
          <w:highlight w:val="none"/>
        </w:rPr>
        <w:t>四、竞争性磋商文件的组成：</w:t>
      </w:r>
    </w:p>
    <w:p w14:paraId="4CAD4731">
      <w:pPr>
        <w:tabs>
          <w:tab w:val="left" w:pos="315"/>
        </w:tabs>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本竞争性磋商文件由以下内容组成：</w:t>
      </w:r>
    </w:p>
    <w:p w14:paraId="371882E8">
      <w:pPr>
        <w:tabs>
          <w:tab w:val="left" w:pos="315"/>
        </w:tabs>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1、竞争性磋商公告；</w:t>
      </w:r>
    </w:p>
    <w:p w14:paraId="038E87DB">
      <w:pPr>
        <w:tabs>
          <w:tab w:val="left" w:pos="315"/>
        </w:tabs>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2、磋商响应方须知及响应方须知前附表；</w:t>
      </w:r>
    </w:p>
    <w:p w14:paraId="275265D7">
      <w:pPr>
        <w:tabs>
          <w:tab w:val="left" w:pos="315"/>
        </w:tabs>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3、磋商组织、步骤与评审方法；</w:t>
      </w:r>
    </w:p>
    <w:p w14:paraId="216509A4">
      <w:pPr>
        <w:tabs>
          <w:tab w:val="left" w:pos="315"/>
        </w:tabs>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4、采购内容及要求；</w:t>
      </w:r>
    </w:p>
    <w:p w14:paraId="2C9B5396">
      <w:pPr>
        <w:tabs>
          <w:tab w:val="left" w:pos="315"/>
        </w:tabs>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5、合同授予；</w:t>
      </w:r>
    </w:p>
    <w:p w14:paraId="44E24676">
      <w:pPr>
        <w:tabs>
          <w:tab w:val="left" w:pos="315"/>
        </w:tabs>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6、响应文件部分格式。</w:t>
      </w:r>
    </w:p>
    <w:p w14:paraId="70035062">
      <w:pPr>
        <w:spacing w:line="560" w:lineRule="exact"/>
        <w:ind w:firstLine="482" w:firstLineChars="200"/>
        <w:rPr>
          <w:rFonts w:ascii="宋体" w:hAnsi="宋体" w:cs="宋体"/>
          <w:b/>
          <w:color w:val="auto"/>
          <w:sz w:val="24"/>
          <w:highlight w:val="none"/>
        </w:rPr>
      </w:pPr>
      <w:r>
        <w:rPr>
          <w:rFonts w:ascii="宋体" w:hAnsi="宋体" w:cs="宋体"/>
          <w:b/>
          <w:color w:val="auto"/>
          <w:sz w:val="24"/>
          <w:highlight w:val="none"/>
        </w:rPr>
        <w:t>五、磋商文件的澄清、修改、补充</w:t>
      </w:r>
    </w:p>
    <w:p w14:paraId="0F94C2C6">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1、无论是采购人根据需要主动对磋商文件进行必要的澄清、修改、补充，或是根据供应商的要求对磋商文件做出澄清、修改、补充，采购人都有权于磋商响应文件提交截止时间前对磋商文件进行予以澄清、修改、补充，该澄清、修改、补充的内容为磋商文件的组成部分，具有约束作用。</w:t>
      </w:r>
    </w:p>
    <w:p w14:paraId="3CF8F5E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提交磋商响应文件截止时间前，采购人可以对磋商文件进行必要的澄清和修改，在邹城市外宣网(http://www.mencius.gov.cn/)上予以公告。如果采购人对澄清或者修改的内容可能影响响应文件编制的，应在提交磋商响应文件截止时间前发出公告。澄清和修改的内容将构成磋商文件的组成部分。</w:t>
      </w:r>
    </w:p>
    <w:p w14:paraId="37F0F99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磋商文件的澄清、修改、补充一经在邹城市外宣网(http://www.mencius.gov.cn/)上发布，视作已发放给所有各潜在供应商（发布时间即为送达各潜在供应商的时间），各潜在供应商应随时关注本项目信息并及时在邹城市外宣网下载相关资料，否则所造成的一切后果由各潜在供应商自负。</w:t>
      </w:r>
    </w:p>
    <w:p w14:paraId="1E80E92A">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3、磋商</w:t>
      </w:r>
      <w:r>
        <w:rPr>
          <w:rFonts w:ascii="宋体" w:hAnsi="宋体" w:cs="宋体"/>
          <w:bCs/>
          <w:color w:val="auto"/>
          <w:sz w:val="24"/>
          <w:highlight w:val="none"/>
        </w:rPr>
        <w:t>文件</w:t>
      </w:r>
      <w:r>
        <w:rPr>
          <w:rFonts w:ascii="宋体" w:hAnsi="宋体" w:cs="宋体"/>
          <w:color w:val="auto"/>
          <w:sz w:val="24"/>
          <w:highlight w:val="none"/>
        </w:rPr>
        <w:t>的澄清、修改、补充等内容均以公告明确的内容为准。当磋商文件的澄清、修改、补充等在同一内容的表述上不一致时，以最后发出的公告文件为准。</w:t>
      </w:r>
    </w:p>
    <w:p w14:paraId="2A4BB0C2">
      <w:pPr>
        <w:spacing w:line="560" w:lineRule="exact"/>
        <w:ind w:firstLine="482" w:firstLineChars="200"/>
        <w:rPr>
          <w:rFonts w:ascii="宋体" w:hAnsi="宋体" w:cs="宋体"/>
          <w:b/>
          <w:color w:val="auto"/>
          <w:sz w:val="24"/>
          <w:highlight w:val="none"/>
        </w:rPr>
      </w:pPr>
      <w:r>
        <w:rPr>
          <w:rFonts w:ascii="宋体" w:hAnsi="宋体" w:cs="宋体"/>
          <w:b/>
          <w:color w:val="auto"/>
          <w:sz w:val="24"/>
          <w:highlight w:val="none"/>
        </w:rPr>
        <w:t>六、磋商响应文件的编写及递交：</w:t>
      </w:r>
    </w:p>
    <w:p w14:paraId="60F8102A">
      <w:pPr>
        <w:tabs>
          <w:tab w:val="left" w:pos="315"/>
        </w:tabs>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磋商响应方应按磋商文件的要求准备磋商响应文件，并保证所提供全部资料的真实性、准确性及完整性，并对磋商文件做出实质性响应。</w:t>
      </w:r>
    </w:p>
    <w:p w14:paraId="77DA690F">
      <w:pPr>
        <w:tabs>
          <w:tab w:val="left" w:pos="315"/>
        </w:tabs>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（一）磋商响应文件的组成：</w:t>
      </w:r>
    </w:p>
    <w:p w14:paraId="4DFEBF5C">
      <w:pPr>
        <w:tabs>
          <w:tab w:val="left" w:pos="315"/>
        </w:tabs>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1、价格部分</w:t>
      </w:r>
    </w:p>
    <w:p w14:paraId="7E664DCC">
      <w:pPr>
        <w:tabs>
          <w:tab w:val="left" w:pos="315"/>
        </w:tabs>
        <w:spacing w:line="560" w:lineRule="exact"/>
        <w:ind w:firstLine="480" w:firstLineChars="200"/>
        <w:rPr>
          <w:rFonts w:hint="eastAsia" w:ascii="宋体" w:hAnsi="宋体" w:cs="宋体"/>
          <w:color w:val="auto"/>
          <w:sz w:val="24"/>
          <w:highlight w:val="none"/>
          <w:lang w:val="en-US" w:eastAsia="zh-CN"/>
        </w:rPr>
      </w:pPr>
      <w:r>
        <w:rPr>
          <w:rFonts w:ascii="宋体" w:hAnsi="宋体" w:cs="宋体"/>
          <w:color w:val="auto"/>
          <w:sz w:val="24"/>
          <w:highlight w:val="none"/>
        </w:rPr>
        <w:t>1.1</w:t>
      </w:r>
      <w:r>
        <w:rPr>
          <w:rFonts w:hint="eastAsia" w:ascii="宋体" w:hAnsi="宋体" w:cs="宋体"/>
          <w:color w:val="auto"/>
          <w:sz w:val="24"/>
          <w:highlight w:val="none"/>
          <w:lang w:eastAsia="zh-CN"/>
        </w:rPr>
        <w:t>初次报价表</w:t>
      </w:r>
    </w:p>
    <w:p w14:paraId="157043C1">
      <w:pPr>
        <w:tabs>
          <w:tab w:val="left" w:pos="315"/>
        </w:tabs>
        <w:spacing w:line="560" w:lineRule="exact"/>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ascii="宋体" w:hAnsi="宋体" w:cs="宋体"/>
          <w:color w:val="auto"/>
          <w:sz w:val="24"/>
          <w:highlight w:val="none"/>
        </w:rPr>
        <w:t>技术部分</w:t>
      </w:r>
    </w:p>
    <w:p w14:paraId="32CB8016">
      <w:pPr>
        <w:keepNext w:val="0"/>
        <w:keepLines w:val="0"/>
        <w:pageBreakBefore w:val="0"/>
        <w:widowControl w:val="0"/>
        <w:tabs>
          <w:tab w:val="left" w:pos="315"/>
        </w:tabs>
        <w:kinsoku/>
        <w:wordWrap/>
        <w:overflowPunct/>
        <w:topLinePunct w:val="0"/>
        <w:autoSpaceDE/>
        <w:autoSpaceDN/>
        <w:bidi w:val="0"/>
        <w:adjustRightInd/>
        <w:snapToGrid w:val="0"/>
        <w:spacing w:line="480" w:lineRule="exact"/>
        <w:ind w:firstLine="480" w:firstLineChars="200"/>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2.1绿化养护服务方案</w:t>
      </w:r>
    </w:p>
    <w:p w14:paraId="71B7FFF8">
      <w:pPr>
        <w:keepNext w:val="0"/>
        <w:keepLines w:val="0"/>
        <w:pageBreakBefore w:val="0"/>
        <w:widowControl w:val="0"/>
        <w:tabs>
          <w:tab w:val="left" w:pos="315"/>
        </w:tabs>
        <w:kinsoku/>
        <w:wordWrap/>
        <w:overflowPunct/>
        <w:topLinePunct w:val="0"/>
        <w:autoSpaceDE/>
        <w:autoSpaceDN/>
        <w:bidi w:val="0"/>
        <w:adjustRightInd/>
        <w:snapToGrid w:val="0"/>
        <w:spacing w:line="480" w:lineRule="exact"/>
        <w:ind w:firstLine="480" w:firstLineChars="200"/>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2.2保洁服务方案</w:t>
      </w:r>
    </w:p>
    <w:p w14:paraId="6809903B">
      <w:pPr>
        <w:keepNext w:val="0"/>
        <w:keepLines w:val="0"/>
        <w:pageBreakBefore w:val="0"/>
        <w:widowControl w:val="0"/>
        <w:tabs>
          <w:tab w:val="left" w:pos="315"/>
        </w:tabs>
        <w:kinsoku/>
        <w:wordWrap/>
        <w:overflowPunct/>
        <w:topLinePunct w:val="0"/>
        <w:autoSpaceDE/>
        <w:autoSpaceDN/>
        <w:bidi w:val="0"/>
        <w:adjustRightInd/>
        <w:snapToGrid w:val="0"/>
        <w:spacing w:line="480" w:lineRule="exact"/>
        <w:ind w:firstLine="480" w:firstLineChars="200"/>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2.3安保服务方案</w:t>
      </w:r>
    </w:p>
    <w:p w14:paraId="73920FE2">
      <w:pPr>
        <w:keepNext w:val="0"/>
        <w:keepLines w:val="0"/>
        <w:pageBreakBefore w:val="0"/>
        <w:widowControl w:val="0"/>
        <w:tabs>
          <w:tab w:val="left" w:pos="315"/>
        </w:tabs>
        <w:kinsoku/>
        <w:wordWrap/>
        <w:overflowPunct/>
        <w:topLinePunct w:val="0"/>
        <w:autoSpaceDE/>
        <w:autoSpaceDN/>
        <w:bidi w:val="0"/>
        <w:adjustRightInd/>
        <w:snapToGrid w:val="0"/>
        <w:spacing w:line="480" w:lineRule="exact"/>
        <w:ind w:firstLine="480" w:firstLineChars="200"/>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2.4绿化带环境卫生处理措施</w:t>
      </w:r>
    </w:p>
    <w:p w14:paraId="26B8AEB1">
      <w:pPr>
        <w:keepNext w:val="0"/>
        <w:keepLines w:val="0"/>
        <w:pageBreakBefore w:val="0"/>
        <w:widowControl w:val="0"/>
        <w:tabs>
          <w:tab w:val="left" w:pos="315"/>
        </w:tabs>
        <w:kinsoku/>
        <w:wordWrap/>
        <w:overflowPunct/>
        <w:topLinePunct w:val="0"/>
        <w:autoSpaceDE/>
        <w:autoSpaceDN/>
        <w:bidi w:val="0"/>
        <w:adjustRightInd/>
        <w:snapToGrid w:val="0"/>
        <w:spacing w:line="480" w:lineRule="exact"/>
        <w:ind w:firstLine="480" w:firstLineChars="200"/>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2.5秩序维护管理方案</w:t>
      </w:r>
    </w:p>
    <w:p w14:paraId="45055709">
      <w:pPr>
        <w:keepNext w:val="0"/>
        <w:keepLines w:val="0"/>
        <w:pageBreakBefore w:val="0"/>
        <w:widowControl w:val="0"/>
        <w:tabs>
          <w:tab w:val="left" w:pos="315"/>
        </w:tabs>
        <w:kinsoku/>
        <w:wordWrap/>
        <w:overflowPunct/>
        <w:topLinePunct w:val="0"/>
        <w:autoSpaceDE/>
        <w:autoSpaceDN/>
        <w:bidi w:val="0"/>
        <w:adjustRightInd/>
        <w:snapToGrid w:val="0"/>
        <w:spacing w:line="480" w:lineRule="exact"/>
        <w:ind w:firstLine="480" w:firstLineChars="200"/>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2.6响应供应商认为需提供的其他材料</w:t>
      </w:r>
    </w:p>
    <w:p w14:paraId="2F481E17">
      <w:pPr>
        <w:tabs>
          <w:tab w:val="left" w:pos="315"/>
        </w:tabs>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3、商务部分</w:t>
      </w:r>
    </w:p>
    <w:p w14:paraId="4B410350">
      <w:pPr>
        <w:tabs>
          <w:tab w:val="left" w:pos="315"/>
        </w:tabs>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3.1响应供应商声明函</w:t>
      </w:r>
    </w:p>
    <w:p w14:paraId="32B35AF0">
      <w:pPr>
        <w:tabs>
          <w:tab w:val="left" w:pos="315"/>
        </w:tabs>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3.2营业执照副本复印件</w:t>
      </w:r>
    </w:p>
    <w:p w14:paraId="6009E486">
      <w:pPr>
        <w:tabs>
          <w:tab w:val="left" w:pos="315"/>
        </w:tabs>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3.3法定代表人授权书复印件</w:t>
      </w:r>
    </w:p>
    <w:p w14:paraId="5F73E1D4">
      <w:pPr>
        <w:tabs>
          <w:tab w:val="left" w:pos="315"/>
        </w:tabs>
        <w:spacing w:line="560" w:lineRule="exact"/>
        <w:ind w:firstLine="480" w:firstLineChars="200"/>
        <w:rPr>
          <w:rFonts w:hint="eastAsia" w:ascii="宋体" w:hAnsi="宋体" w:eastAsia="宋体" w:cs="宋体"/>
          <w:color w:val="auto"/>
          <w:sz w:val="24"/>
          <w:highlight w:val="none"/>
          <w:lang w:eastAsia="zh-CN"/>
        </w:rPr>
      </w:pPr>
      <w:r>
        <w:rPr>
          <w:rFonts w:ascii="宋体" w:hAnsi="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供应商缴纳税收和社会保障资金等证明告知承诺书</w:t>
      </w:r>
    </w:p>
    <w:p w14:paraId="3717787F">
      <w:pPr>
        <w:tabs>
          <w:tab w:val="left" w:pos="315"/>
        </w:tabs>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lang w:val="en-US" w:eastAsia="zh-CN"/>
        </w:rPr>
        <w:t>5</w:t>
      </w:r>
      <w:r>
        <w:rPr>
          <w:rFonts w:ascii="宋体" w:hAnsi="宋体" w:cs="宋体"/>
          <w:color w:val="auto"/>
          <w:sz w:val="24"/>
          <w:highlight w:val="none"/>
        </w:rPr>
        <w:t>采购人要求响应供应商递交的其他资格审查材料</w:t>
      </w:r>
    </w:p>
    <w:p w14:paraId="57B9811B">
      <w:pPr>
        <w:tabs>
          <w:tab w:val="left" w:pos="315"/>
        </w:tabs>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4、其他部分</w:t>
      </w:r>
    </w:p>
    <w:p w14:paraId="0B0FC01E">
      <w:pPr>
        <w:tabs>
          <w:tab w:val="left" w:pos="315"/>
        </w:tabs>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lang w:val="en-US" w:eastAsia="zh-CN"/>
        </w:rPr>
        <w:t>1</w:t>
      </w:r>
      <w:r>
        <w:rPr>
          <w:rFonts w:ascii="宋体" w:hAnsi="宋体" w:cs="宋体"/>
          <w:color w:val="auto"/>
          <w:sz w:val="24"/>
          <w:highlight w:val="none"/>
        </w:rPr>
        <w:t>响应供应商认为需要提供的其他材料</w:t>
      </w:r>
    </w:p>
    <w:p w14:paraId="677702EC">
      <w:pPr>
        <w:tabs>
          <w:tab w:val="left" w:pos="315"/>
        </w:tabs>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（二）磋商响应文件的密封和标记：</w:t>
      </w:r>
    </w:p>
    <w:p w14:paraId="192DA4A8">
      <w:pPr>
        <w:tabs>
          <w:tab w:val="left" w:pos="315"/>
        </w:tabs>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1、磋商响应文件需逐页加盖磋商响应方公章并装订成册；</w:t>
      </w:r>
    </w:p>
    <w:p w14:paraId="4A3BE210">
      <w:pPr>
        <w:tabs>
          <w:tab w:val="left" w:pos="315"/>
        </w:tabs>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2、磋商响应方应准备磋商响应文件</w:t>
      </w:r>
      <w:r>
        <w:rPr>
          <w:rFonts w:hint="eastAsia" w:ascii="宋体" w:hAnsi="宋体" w:cs="宋体"/>
          <w:color w:val="auto"/>
          <w:sz w:val="24"/>
          <w:highlight w:val="none"/>
          <w:lang w:eastAsia="zh-CN"/>
        </w:rPr>
        <w:t>五</w:t>
      </w:r>
      <w:r>
        <w:rPr>
          <w:rFonts w:ascii="宋体" w:hAnsi="宋体" w:cs="宋体"/>
          <w:color w:val="auto"/>
          <w:sz w:val="24"/>
          <w:highlight w:val="none"/>
        </w:rPr>
        <w:t>份，一份正本和</w:t>
      </w:r>
      <w:r>
        <w:rPr>
          <w:rFonts w:hint="eastAsia" w:ascii="宋体" w:hAnsi="宋体" w:cs="宋体"/>
          <w:color w:val="auto"/>
          <w:sz w:val="24"/>
          <w:highlight w:val="none"/>
          <w:lang w:val="en-US" w:eastAsia="zh-CN"/>
        </w:rPr>
        <w:t>叁份副本</w:t>
      </w:r>
      <w:r>
        <w:rPr>
          <w:rFonts w:ascii="宋体" w:hAnsi="宋体" w:cs="宋体"/>
          <w:color w:val="auto"/>
          <w:sz w:val="24"/>
          <w:highlight w:val="none"/>
        </w:rPr>
        <w:t>。在每一份磋商响应文件上要明确注明“正本”或“副本”字样，一旦正本和副本有差异，以正本为准；</w:t>
      </w:r>
    </w:p>
    <w:p w14:paraId="17973F56">
      <w:pPr>
        <w:tabs>
          <w:tab w:val="left" w:pos="315"/>
        </w:tabs>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3、响应磋商响应方应将磋商响应文件密封，并在密封袋的封口处加盖磋商响应方印章或由授权代表签字。未按本条要求密封的磋商响应文件将被拒绝接收。</w:t>
      </w:r>
    </w:p>
    <w:p w14:paraId="15EC071F">
      <w:pPr>
        <w:tabs>
          <w:tab w:val="left" w:pos="315"/>
        </w:tabs>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（三）磋商响应文件的递交：</w:t>
      </w:r>
    </w:p>
    <w:p w14:paraId="230BEDEE">
      <w:pPr>
        <w:tabs>
          <w:tab w:val="left" w:pos="315"/>
        </w:tabs>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1、磋商响应文件应于</w:t>
      </w:r>
      <w:r>
        <w:rPr>
          <w:rFonts w:hint="eastAsia" w:ascii="宋体" w:hAnsi="宋体" w:cs="宋体"/>
          <w:color w:val="auto"/>
          <w:sz w:val="24"/>
          <w:highlight w:val="none"/>
          <w:lang w:eastAsia="zh-CN"/>
        </w:rPr>
        <w:t>2025年07月28日09时30分</w:t>
      </w:r>
      <w:r>
        <w:rPr>
          <w:rFonts w:ascii="宋体" w:hAnsi="宋体" w:cs="宋体"/>
          <w:color w:val="auto"/>
          <w:sz w:val="24"/>
          <w:highlight w:val="none"/>
        </w:rPr>
        <w:t>前递交至</w:t>
      </w:r>
      <w:r>
        <w:rPr>
          <w:rFonts w:hint="eastAsia" w:ascii="宋体" w:hAnsi="宋体" w:cs="宋体"/>
          <w:color w:val="auto"/>
          <w:sz w:val="24"/>
          <w:highlight w:val="none"/>
          <w:lang w:eastAsia="zh-CN"/>
        </w:rPr>
        <w:t>邹城市钢山街道公共资源交易中心开标室</w:t>
      </w:r>
      <w:r>
        <w:rPr>
          <w:rFonts w:ascii="宋体" w:hAnsi="宋体" w:cs="宋体"/>
          <w:color w:val="auto"/>
          <w:sz w:val="24"/>
          <w:highlight w:val="none"/>
        </w:rPr>
        <w:t>。</w:t>
      </w:r>
    </w:p>
    <w:p w14:paraId="7D3D87F3">
      <w:pPr>
        <w:tabs>
          <w:tab w:val="left" w:pos="315"/>
        </w:tabs>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2、递交磋商响应文件时，磋商响应方如出现以下情况，磋商响应文件将被拒绝。</w:t>
      </w:r>
    </w:p>
    <w:p w14:paraId="03FADD6E">
      <w:pPr>
        <w:tabs>
          <w:tab w:val="left" w:pos="315"/>
        </w:tabs>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（1）逾期送达或未送达指定地点的磋商响应文件。</w:t>
      </w:r>
    </w:p>
    <w:p w14:paraId="03F19F8C">
      <w:pPr>
        <w:tabs>
          <w:tab w:val="left" w:pos="315"/>
        </w:tabs>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（2）磋商响应方以传真、电子邮件方式递交磋商响应文件。</w:t>
      </w:r>
    </w:p>
    <w:p w14:paraId="3A7207D7">
      <w:pPr>
        <w:tabs>
          <w:tab w:val="left" w:pos="315"/>
        </w:tabs>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（3）磋商响应文件未按磋商文件要求密封的。</w:t>
      </w:r>
    </w:p>
    <w:p w14:paraId="49F145AC">
      <w:pPr>
        <w:tabs>
          <w:tab w:val="left" w:pos="315"/>
        </w:tabs>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3、对磋商响应方的磋商响应文件、材料不予退还。</w:t>
      </w:r>
    </w:p>
    <w:p w14:paraId="5DD24146">
      <w:pPr>
        <w:tabs>
          <w:tab w:val="left" w:pos="315"/>
        </w:tabs>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（四）报价要求：</w:t>
      </w:r>
    </w:p>
    <w:p w14:paraId="324AF813">
      <w:pPr>
        <w:spacing w:line="560" w:lineRule="exact"/>
        <w:ind w:firstLine="468"/>
        <w:rPr>
          <w:rFonts w:ascii="宋体" w:hAnsi="宋体" w:cs="宋体"/>
          <w:color w:val="auto"/>
          <w:sz w:val="24"/>
          <w:highlight w:val="none"/>
        </w:rPr>
      </w:pPr>
      <w:r>
        <w:rPr>
          <w:rFonts w:ascii="宋体" w:hAnsi="宋体" w:cs="宋体"/>
          <w:color w:val="auto"/>
          <w:sz w:val="24"/>
          <w:highlight w:val="none"/>
        </w:rPr>
        <w:t>1、报价币种为人民币元；</w:t>
      </w:r>
      <w:r>
        <w:rPr>
          <w:rFonts w:hint="eastAsia" w:ascii="宋体" w:hAnsi="宋体" w:cs="宋体"/>
          <w:color w:val="auto"/>
          <w:sz w:val="24"/>
          <w:highlight w:val="none"/>
        </w:rPr>
        <w:t>本项目为“交钥匙”项目，磋商响应方的报价应是实施、完成本采购项目以及履行磋商文件中约定的所有责任和义务所发生的全部费用。供应商无论何种原因造成报价各项的遗漏，其风险自担。本项目报价应含：人工费、材料费、机械（清扫、洒水、冲洗）费、设备工具费、农药费、肥料费、养护费、苗木补植费（即养护期间死亡苗木补植的苗木费用）园林有机物无害化处理费、保险、管理费、不可预见费及政策性文件规定及合同包含的所有风险等全部费用。其中，磋商代理服务费应分摊在报价中。</w:t>
      </w:r>
    </w:p>
    <w:p w14:paraId="04157D95">
      <w:pPr>
        <w:tabs>
          <w:tab w:val="left" w:pos="315"/>
        </w:tabs>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2、如果报价表大写金额与小写金额不一致，以大写的金额为准；</w:t>
      </w:r>
    </w:p>
    <w:p w14:paraId="5B208E57">
      <w:pPr>
        <w:tabs>
          <w:tab w:val="left" w:pos="315"/>
        </w:tabs>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3、供应商应提供分项单价和总价，如总价金额与按单价汇总金额不一致的以单价金额计算结果为准，单价金额小数点有明显错位的应以总价为准，并修改单价；</w:t>
      </w:r>
    </w:p>
    <w:p w14:paraId="3B4BCC7F">
      <w:pPr>
        <w:tabs>
          <w:tab w:val="left" w:pos="315"/>
        </w:tabs>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4、响应磋商响应方免费提供的项目应先填写该项目的实际价格并注明免费，此项不计入总价或合计价。</w:t>
      </w:r>
    </w:p>
    <w:p w14:paraId="34940FDC">
      <w:pPr>
        <w:tabs>
          <w:tab w:val="left" w:pos="315"/>
        </w:tabs>
        <w:spacing w:line="560" w:lineRule="exact"/>
        <w:ind w:firstLine="480" w:firstLineChars="200"/>
        <w:rPr>
          <w:rFonts w:ascii="宋体" w:hAnsi="宋体" w:cs="宋体"/>
          <w:b/>
          <w:color w:val="auto"/>
          <w:sz w:val="24"/>
          <w:highlight w:val="none"/>
        </w:rPr>
      </w:pPr>
      <w:r>
        <w:rPr>
          <w:rFonts w:ascii="宋体" w:hAnsi="宋体" w:cs="宋体"/>
          <w:color w:val="auto"/>
          <w:sz w:val="24"/>
          <w:highlight w:val="none"/>
        </w:rPr>
        <w:t>5、</w:t>
      </w:r>
      <w:r>
        <w:rPr>
          <w:rFonts w:ascii="宋体" w:hAnsi="宋体" w:cs="宋体"/>
          <w:b/>
          <w:color w:val="auto"/>
          <w:sz w:val="24"/>
          <w:highlight w:val="none"/>
        </w:rPr>
        <w:t>磋商响应方的初次报价和最终报价均不得高于采购预算价，磋商响应方报价高于采购预算价的，作无效响应文件处理。</w:t>
      </w:r>
    </w:p>
    <w:p w14:paraId="0570CC80">
      <w:pPr>
        <w:tabs>
          <w:tab w:val="left" w:pos="315"/>
        </w:tabs>
        <w:spacing w:line="560" w:lineRule="exact"/>
        <w:ind w:firstLine="482" w:firstLineChars="200"/>
        <w:rPr>
          <w:rFonts w:ascii="宋体" w:hAnsi="宋体" w:cs="宋体"/>
          <w:b/>
          <w:color w:val="auto"/>
          <w:sz w:val="24"/>
          <w:highlight w:val="none"/>
        </w:rPr>
      </w:pPr>
      <w:r>
        <w:rPr>
          <w:rFonts w:ascii="宋体" w:hAnsi="宋体" w:cs="宋体"/>
          <w:b/>
          <w:color w:val="auto"/>
          <w:sz w:val="24"/>
          <w:highlight w:val="none"/>
        </w:rPr>
        <w:t>七、磋商有效期：</w:t>
      </w:r>
    </w:p>
    <w:p w14:paraId="1D12F67B">
      <w:pPr>
        <w:tabs>
          <w:tab w:val="left" w:pos="315"/>
        </w:tabs>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自递交磋商响应文件截止之日起60个日历日。</w:t>
      </w:r>
    </w:p>
    <w:p w14:paraId="4A90E4DE">
      <w:pPr>
        <w:tabs>
          <w:tab w:val="left" w:pos="315"/>
        </w:tabs>
        <w:spacing w:line="560" w:lineRule="exact"/>
        <w:ind w:firstLine="482" w:firstLineChars="200"/>
        <w:rPr>
          <w:rFonts w:ascii="宋体" w:hAnsi="宋体" w:cs="宋体"/>
          <w:b/>
          <w:color w:val="auto"/>
          <w:sz w:val="24"/>
          <w:highlight w:val="none"/>
        </w:rPr>
      </w:pPr>
      <w:r>
        <w:rPr>
          <w:rFonts w:ascii="宋体" w:hAnsi="宋体" w:cs="宋体"/>
          <w:b/>
          <w:color w:val="auto"/>
          <w:sz w:val="24"/>
          <w:highlight w:val="none"/>
        </w:rPr>
        <w:t>八、磋商费用：</w:t>
      </w:r>
    </w:p>
    <w:p w14:paraId="253052E1">
      <w:pPr>
        <w:tabs>
          <w:tab w:val="left" w:pos="315"/>
        </w:tabs>
        <w:spacing w:line="560" w:lineRule="exact"/>
        <w:ind w:firstLine="480" w:firstLineChars="200"/>
        <w:jc w:val="left"/>
        <w:rPr>
          <w:rFonts w:ascii="宋体" w:hAnsi="宋体" w:cs="宋体"/>
          <w:color w:val="auto"/>
          <w:sz w:val="24"/>
          <w:highlight w:val="none"/>
        </w:rPr>
      </w:pPr>
      <w:r>
        <w:rPr>
          <w:rFonts w:ascii="宋体" w:hAnsi="宋体" w:cs="宋体"/>
          <w:color w:val="auto"/>
          <w:sz w:val="24"/>
          <w:highlight w:val="none"/>
        </w:rPr>
        <w:t>1、无论报价过程中的方法和结果如何，各磋商响应方自行承担所有参与磋商的有关费用。</w:t>
      </w:r>
    </w:p>
    <w:p w14:paraId="350C3E3E">
      <w:pPr>
        <w:tabs>
          <w:tab w:val="left" w:pos="315"/>
        </w:tabs>
        <w:spacing w:line="560" w:lineRule="exact"/>
        <w:ind w:firstLine="480" w:firstLineChars="200"/>
        <w:jc w:val="left"/>
        <w:rPr>
          <w:rFonts w:ascii="宋体" w:hAnsi="宋体" w:cs="宋体"/>
          <w:color w:val="auto"/>
          <w:sz w:val="24"/>
          <w:highlight w:val="none"/>
        </w:rPr>
      </w:pPr>
      <w:r>
        <w:rPr>
          <w:rFonts w:ascii="宋体" w:hAnsi="宋体" w:cs="宋体"/>
          <w:color w:val="auto"/>
          <w:sz w:val="24"/>
          <w:highlight w:val="none"/>
        </w:rPr>
        <w:t>2、本次磋商代理费由成交人支付，磋商代理费共计</w:t>
      </w:r>
      <w:r>
        <w:rPr>
          <w:rFonts w:hint="eastAsia" w:ascii="宋体" w:hAnsi="宋体" w:cs="宋体"/>
          <w:color w:val="auto"/>
          <w:sz w:val="24"/>
          <w:highlight w:val="none"/>
          <w:lang w:val="en-US" w:eastAsia="zh-CN"/>
        </w:rPr>
        <w:t>4200.00元</w:t>
      </w:r>
      <w:r>
        <w:rPr>
          <w:rFonts w:ascii="宋体" w:hAnsi="宋体" w:cs="宋体"/>
          <w:color w:val="auto"/>
          <w:sz w:val="24"/>
          <w:highlight w:val="none"/>
        </w:rPr>
        <w:t>；成交通知书发出前，成交人从其账户一次性汇入代理机构指定账户。</w:t>
      </w:r>
    </w:p>
    <w:p w14:paraId="0224E02E">
      <w:pPr>
        <w:pStyle w:val="4"/>
        <w:snapToGrid w:val="0"/>
        <w:spacing w:line="560" w:lineRule="exact"/>
        <w:rPr>
          <w:rFonts w:ascii="宋体" w:hAnsi="宋体" w:cs="宋体"/>
          <w:b/>
          <w:color w:val="auto"/>
          <w:sz w:val="24"/>
          <w:highlight w:val="none"/>
        </w:rPr>
      </w:pPr>
      <w:r>
        <w:rPr>
          <w:rFonts w:ascii="宋体" w:hAnsi="宋体" w:cs="宋体"/>
          <w:b/>
          <w:color w:val="auto"/>
          <w:sz w:val="24"/>
          <w:highlight w:val="none"/>
        </w:rPr>
        <w:t>九、付款方式：</w:t>
      </w:r>
    </w:p>
    <w:p w14:paraId="11B302EF">
      <w:pPr>
        <w:pStyle w:val="4"/>
        <w:snapToGrid w:val="0"/>
        <w:spacing w:line="560" w:lineRule="exact"/>
        <w:ind w:left="0" w:leftChars="0" w:firstLine="482" w:firstLineChars="200"/>
        <w:rPr>
          <w:rFonts w:hint="eastAsia" w:ascii="宋体" w:hAnsi="宋体" w:cs="宋体"/>
          <w:b w:val="0"/>
          <w:bCs/>
          <w:color w:val="auto"/>
          <w:sz w:val="24"/>
          <w:highlight w:val="none"/>
        </w:rPr>
      </w:pPr>
      <w:r>
        <w:rPr>
          <w:rFonts w:hint="eastAsia" w:ascii="宋体" w:hAnsi="宋体" w:cs="宋体"/>
          <w:b/>
          <w:bCs w:val="0"/>
          <w:color w:val="auto"/>
          <w:sz w:val="24"/>
          <w:highlight w:val="none"/>
          <w:lang w:val="en-US" w:eastAsia="zh-CN"/>
        </w:rPr>
        <w:t>本项目无预付款，</w:t>
      </w:r>
      <w:r>
        <w:rPr>
          <w:rFonts w:hint="eastAsia" w:ascii="宋体" w:hAnsi="宋体" w:cs="宋体"/>
          <w:b/>
          <w:bCs w:val="0"/>
          <w:color w:val="auto"/>
          <w:sz w:val="24"/>
          <w:highlight w:val="none"/>
          <w:lang w:eastAsia="zh-CN"/>
        </w:rPr>
        <w:t>采购人按合同金额每半年均摊拨付给供应商</w:t>
      </w:r>
      <w:r>
        <w:rPr>
          <w:rFonts w:hint="eastAsia" w:ascii="宋体" w:hAnsi="宋体" w:cs="宋体"/>
          <w:bCs/>
          <w:color w:val="auto"/>
          <w:sz w:val="24"/>
          <w:highlight w:val="none"/>
          <w:lang w:eastAsia="zh-CN"/>
        </w:rPr>
        <w:t>。</w:t>
      </w:r>
    </w:p>
    <w:p w14:paraId="440C5117">
      <w:pPr>
        <w:numPr>
          <w:ilvl w:val="0"/>
          <w:numId w:val="1"/>
        </w:numPr>
        <w:tabs>
          <w:tab w:val="left" w:pos="315"/>
        </w:tabs>
        <w:spacing w:line="600" w:lineRule="exact"/>
        <w:ind w:firstLine="482" w:firstLineChars="200"/>
        <w:rPr>
          <w:rFonts w:ascii="宋体" w:hAnsi="宋体" w:cs="宋体"/>
          <w:b/>
          <w:color w:val="auto"/>
          <w:sz w:val="24"/>
          <w:highlight w:val="none"/>
        </w:rPr>
      </w:pPr>
      <w:r>
        <w:rPr>
          <w:rFonts w:ascii="宋体" w:hAnsi="宋体" w:cs="宋体"/>
          <w:b/>
          <w:color w:val="auto"/>
          <w:sz w:val="24"/>
          <w:highlight w:val="none"/>
        </w:rPr>
        <w:t>采购预算价：</w:t>
      </w:r>
    </w:p>
    <w:p w14:paraId="58B093CB">
      <w:pPr>
        <w:tabs>
          <w:tab w:val="left" w:pos="315"/>
        </w:tabs>
        <w:spacing w:line="5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本次磋商设采购预算价，采购预算为：278000.00元；采购预算是采购人对采购项目期望的最高限价，磋商响应方的初次报价和最终报价均不得高于采购预算价，磋商响应方报价高于采购预算价的，作无效响应文件处理。</w:t>
      </w:r>
    </w:p>
    <w:p w14:paraId="3EEE65C7">
      <w:pPr>
        <w:pStyle w:val="4"/>
        <w:snapToGrid w:val="0"/>
        <w:spacing w:line="560" w:lineRule="exact"/>
        <w:rPr>
          <w:rFonts w:ascii="宋体" w:hAnsi="宋体" w:cs="宋体"/>
          <w:b/>
          <w:color w:val="auto"/>
          <w:sz w:val="24"/>
          <w:highlight w:val="none"/>
        </w:rPr>
      </w:pPr>
      <w:r>
        <w:rPr>
          <w:rFonts w:ascii="宋体" w:hAnsi="宋体" w:cs="宋体"/>
          <w:b/>
          <w:color w:val="auto"/>
          <w:sz w:val="24"/>
          <w:highlight w:val="none"/>
        </w:rPr>
        <w:t>十</w:t>
      </w:r>
      <w:r>
        <w:rPr>
          <w:rFonts w:hint="eastAsia" w:ascii="宋体" w:hAnsi="宋体" w:cs="宋体"/>
          <w:b/>
          <w:color w:val="auto"/>
          <w:sz w:val="24"/>
          <w:highlight w:val="none"/>
          <w:lang w:val="en-US" w:eastAsia="zh-CN"/>
        </w:rPr>
        <w:t>一</w:t>
      </w:r>
      <w:r>
        <w:rPr>
          <w:rFonts w:ascii="宋体" w:hAnsi="宋体" w:cs="宋体"/>
          <w:b/>
          <w:color w:val="auto"/>
          <w:sz w:val="24"/>
          <w:highlight w:val="none"/>
        </w:rPr>
        <w:t>、无效磋商响应文件</w:t>
      </w:r>
    </w:p>
    <w:p w14:paraId="55F3BF0B">
      <w:pPr>
        <w:tabs>
          <w:tab w:val="left" w:pos="360"/>
        </w:tabs>
        <w:snapToGrid w:val="0"/>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凡具有下列情形之一的，作无效文件，不予进入评审：</w:t>
      </w:r>
    </w:p>
    <w:p w14:paraId="0149790C">
      <w:pPr>
        <w:keepNext w:val="0"/>
        <w:keepLines w:val="0"/>
        <w:pageBreakBefore w:val="0"/>
        <w:widowControl w:val="0"/>
        <w:tabs>
          <w:tab w:val="left" w:pos="360"/>
        </w:tabs>
        <w:kinsoku/>
        <w:wordWrap/>
        <w:overflowPunct/>
        <w:topLinePunct w:val="0"/>
        <w:autoSpaceDE/>
        <w:autoSpaceDN/>
        <w:bidi w:val="0"/>
        <w:adjustRightInd/>
        <w:snapToGrid w:val="0"/>
        <w:spacing w:line="5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ascii="宋体" w:hAnsi="宋体" w:cs="宋体"/>
          <w:color w:val="auto"/>
          <w:sz w:val="24"/>
          <w:highlight w:val="none"/>
        </w:rPr>
        <w:t>不同响应供应商的磋商文件由同一单位或者个人编制的；</w:t>
      </w:r>
    </w:p>
    <w:p w14:paraId="1AC8B2F9">
      <w:pPr>
        <w:tabs>
          <w:tab w:val="left" w:pos="360"/>
        </w:tabs>
        <w:snapToGrid w:val="0"/>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ascii="宋体" w:hAnsi="宋体" w:cs="宋体"/>
          <w:color w:val="auto"/>
          <w:sz w:val="24"/>
          <w:highlight w:val="none"/>
        </w:rPr>
        <w:t>、不同响应供应商委托同一单位或者个人办理磋商事宜；</w:t>
      </w:r>
    </w:p>
    <w:p w14:paraId="20A1AEA7">
      <w:pPr>
        <w:tabs>
          <w:tab w:val="left" w:pos="360"/>
        </w:tabs>
        <w:snapToGrid w:val="0"/>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、资格证明文件不全的，或者不符合采购文件标明的资格要求的；</w:t>
      </w:r>
    </w:p>
    <w:p w14:paraId="6AAB7170">
      <w:pPr>
        <w:tabs>
          <w:tab w:val="left" w:pos="360"/>
        </w:tabs>
        <w:snapToGrid w:val="0"/>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、响应文件无法定代表人或授权委托人签字或盖章的；</w:t>
      </w:r>
    </w:p>
    <w:p w14:paraId="141E0311">
      <w:pPr>
        <w:tabs>
          <w:tab w:val="left" w:pos="360"/>
        </w:tabs>
        <w:snapToGrid w:val="0"/>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ascii="宋体" w:hAnsi="宋体" w:cs="宋体"/>
          <w:color w:val="auto"/>
          <w:sz w:val="24"/>
          <w:highlight w:val="none"/>
        </w:rPr>
        <w:t>、不响应或者擅自改变采购文件要求或者响应文件有采购人不能接受的附加条件的；</w:t>
      </w:r>
    </w:p>
    <w:p w14:paraId="6B5FD00B">
      <w:pPr>
        <w:tabs>
          <w:tab w:val="left" w:pos="360"/>
        </w:tabs>
        <w:snapToGrid w:val="0"/>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、供应商在响应文件中提供虚假材料的；</w:t>
      </w:r>
    </w:p>
    <w:p w14:paraId="1FF2491A">
      <w:pPr>
        <w:tabs>
          <w:tab w:val="left" w:pos="360"/>
        </w:tabs>
        <w:snapToGrid w:val="0"/>
        <w:spacing w:line="56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r>
        <w:rPr>
          <w:rFonts w:ascii="宋体" w:hAnsi="宋体" w:cs="宋体"/>
          <w:color w:val="auto"/>
          <w:sz w:val="24"/>
          <w:highlight w:val="none"/>
        </w:rPr>
        <w:t>、供应商与采购人、其他供应商或者采购代理机构恶意串通的</w:t>
      </w:r>
      <w:r>
        <w:rPr>
          <w:rFonts w:hint="eastAsia" w:ascii="宋体" w:hAnsi="宋体" w:cs="宋体"/>
          <w:color w:val="auto"/>
          <w:sz w:val="24"/>
          <w:highlight w:val="none"/>
          <w:lang w:eastAsia="zh-CN"/>
        </w:rPr>
        <w:t>；</w:t>
      </w:r>
    </w:p>
    <w:p w14:paraId="31F4D0C3">
      <w:pPr>
        <w:tabs>
          <w:tab w:val="left" w:pos="360"/>
        </w:tabs>
        <w:snapToGrid w:val="0"/>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ascii="宋体" w:hAnsi="宋体" w:cs="宋体"/>
          <w:color w:val="auto"/>
          <w:sz w:val="24"/>
          <w:highlight w:val="none"/>
        </w:rPr>
        <w:t>、供应商在提交响应文件截止时间后撤回响应文件的；</w:t>
      </w:r>
    </w:p>
    <w:p w14:paraId="4361F7A9">
      <w:pPr>
        <w:tabs>
          <w:tab w:val="left" w:pos="360"/>
        </w:tabs>
        <w:snapToGrid w:val="0"/>
        <w:spacing w:line="56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r>
        <w:rPr>
          <w:rFonts w:ascii="宋体" w:hAnsi="宋体" w:cs="宋体"/>
          <w:color w:val="auto"/>
          <w:sz w:val="24"/>
          <w:highlight w:val="none"/>
        </w:rPr>
        <w:t>、除因不可抗力或磋商文件、询价通知书认可的情形以外，成交供应商不与采购人签订合同的</w:t>
      </w:r>
      <w:r>
        <w:rPr>
          <w:rFonts w:hint="eastAsia" w:ascii="宋体" w:hAnsi="宋体" w:cs="宋体"/>
          <w:color w:val="auto"/>
          <w:sz w:val="24"/>
          <w:highlight w:val="none"/>
          <w:lang w:eastAsia="zh-CN"/>
        </w:rPr>
        <w:t>；</w:t>
      </w:r>
    </w:p>
    <w:p w14:paraId="3D8A78C8">
      <w:pPr>
        <w:tabs>
          <w:tab w:val="left" w:pos="360"/>
        </w:tabs>
        <w:snapToGrid w:val="0"/>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lang w:val="en-US" w:eastAsia="zh-CN"/>
        </w:rPr>
        <w:t>0</w:t>
      </w:r>
      <w:r>
        <w:rPr>
          <w:rFonts w:ascii="宋体" w:hAnsi="宋体" w:cs="宋体"/>
          <w:color w:val="auto"/>
          <w:sz w:val="24"/>
          <w:highlight w:val="none"/>
        </w:rPr>
        <w:t>、供应商的报价超过采购预算的；</w:t>
      </w:r>
    </w:p>
    <w:p w14:paraId="5A21C1A8">
      <w:pPr>
        <w:tabs>
          <w:tab w:val="left" w:pos="360"/>
        </w:tabs>
        <w:snapToGrid w:val="0"/>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lang w:val="en-US" w:eastAsia="zh-CN"/>
        </w:rPr>
        <w:t>1</w:t>
      </w:r>
      <w:r>
        <w:rPr>
          <w:rFonts w:ascii="宋体" w:hAnsi="宋体" w:cs="宋体"/>
          <w:color w:val="auto"/>
          <w:sz w:val="24"/>
          <w:highlight w:val="none"/>
        </w:rPr>
        <w:t>、法律、法规规定的其他情况。</w:t>
      </w:r>
    </w:p>
    <w:p w14:paraId="002A1C6F">
      <w:pPr>
        <w:tabs>
          <w:tab w:val="left" w:pos="360"/>
        </w:tabs>
        <w:snapToGrid w:val="0"/>
        <w:spacing w:line="560" w:lineRule="exact"/>
        <w:ind w:firstLine="482" w:firstLineChars="200"/>
        <w:rPr>
          <w:rFonts w:hint="eastAsia" w:ascii="宋体" w:hAnsi="宋体" w:cs="宋体"/>
          <w:b/>
          <w:color w:val="auto"/>
          <w:sz w:val="24"/>
          <w:highlight w:val="none"/>
        </w:rPr>
      </w:pPr>
      <w:r>
        <w:rPr>
          <w:rFonts w:ascii="宋体" w:hAnsi="宋体" w:cs="宋体"/>
          <w:b/>
          <w:color w:val="auto"/>
          <w:sz w:val="24"/>
          <w:highlight w:val="none"/>
        </w:rPr>
        <w:t>十三、</w:t>
      </w:r>
      <w:r>
        <w:rPr>
          <w:rFonts w:hint="eastAsia" w:ascii="宋体" w:hAnsi="宋体" w:cs="宋体"/>
          <w:b/>
          <w:color w:val="auto"/>
          <w:sz w:val="24"/>
          <w:highlight w:val="none"/>
        </w:rPr>
        <w:t>磋商其他情形和磋商失败：</w:t>
      </w:r>
    </w:p>
    <w:p w14:paraId="08DD52CB">
      <w:pPr>
        <w:tabs>
          <w:tab w:val="left" w:pos="360"/>
        </w:tabs>
        <w:snapToGrid w:val="0"/>
        <w:spacing w:line="560" w:lineRule="exact"/>
        <w:ind w:firstLine="480" w:firstLineChars="200"/>
        <w:rPr>
          <w:rFonts w:ascii="宋体" w:hAnsi="宋体" w:cs="宋体"/>
          <w:bCs/>
          <w:color w:val="auto"/>
          <w:sz w:val="24"/>
          <w:highlight w:val="none"/>
        </w:rPr>
      </w:pPr>
      <w:r>
        <w:rPr>
          <w:rFonts w:hint="eastAsia" w:ascii="宋体" w:hAnsi="宋体" w:cs="宋体"/>
          <w:b w:val="0"/>
          <w:bCs/>
          <w:color w:val="auto"/>
          <w:sz w:val="24"/>
          <w:highlight w:val="none"/>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中止竞争性磋商采购活动，发布项目中止公告并说明原因，重新开展采购活动。</w:t>
      </w:r>
    </w:p>
    <w:p w14:paraId="11A8D46B">
      <w:pPr>
        <w:tabs>
          <w:tab w:val="left" w:pos="315"/>
        </w:tabs>
        <w:spacing w:line="600" w:lineRule="exact"/>
        <w:ind w:firstLine="482" w:firstLineChars="200"/>
        <w:rPr>
          <w:rFonts w:ascii="宋体" w:hAnsi="宋体" w:cs="宋体"/>
          <w:b/>
          <w:color w:val="auto"/>
          <w:sz w:val="24"/>
          <w:highlight w:val="none"/>
        </w:rPr>
      </w:pPr>
      <w:r>
        <w:rPr>
          <w:rFonts w:ascii="宋体" w:hAnsi="宋体" w:cs="宋体"/>
          <w:b/>
          <w:color w:val="auto"/>
          <w:sz w:val="24"/>
          <w:highlight w:val="none"/>
        </w:rPr>
        <w:t>十</w:t>
      </w:r>
      <w:r>
        <w:rPr>
          <w:rFonts w:hint="eastAsia" w:ascii="宋体" w:hAnsi="宋体" w:cs="宋体"/>
          <w:b/>
          <w:color w:val="auto"/>
          <w:sz w:val="24"/>
          <w:highlight w:val="none"/>
          <w:lang w:eastAsia="zh-CN"/>
        </w:rPr>
        <w:t>四</w:t>
      </w:r>
      <w:r>
        <w:rPr>
          <w:rFonts w:ascii="宋体" w:hAnsi="宋体" w:cs="宋体"/>
          <w:b/>
          <w:color w:val="auto"/>
          <w:sz w:val="24"/>
          <w:highlight w:val="none"/>
        </w:rPr>
        <w:t>、质疑和投诉：</w:t>
      </w:r>
    </w:p>
    <w:p w14:paraId="674043C0">
      <w:pPr>
        <w:tabs>
          <w:tab w:val="left" w:pos="315"/>
        </w:tabs>
        <w:spacing w:line="600" w:lineRule="exact"/>
        <w:ind w:firstLine="480" w:firstLineChars="200"/>
        <w:rPr>
          <w:rFonts w:ascii="宋体" w:hAnsi="宋体" w:cs="宋体"/>
          <w:color w:val="auto"/>
          <w:sz w:val="24"/>
          <w:highlight w:val="none"/>
        </w:rPr>
      </w:pPr>
      <w:r>
        <w:rPr>
          <w:rFonts w:ascii="宋体" w:hAnsi="宋体" w:cs="宋体"/>
          <w:color w:val="auto"/>
          <w:sz w:val="24"/>
          <w:highlight w:val="none"/>
        </w:rPr>
        <w:t>1、质疑投诉内容：根据《政府采购法实施条例》第二十条规定：采购人或者采购代理机构有下列情形之一的，属于以不合理的条件对</w:t>
      </w:r>
      <w:r>
        <w:rPr>
          <w:rFonts w:ascii="宋体" w:hAnsi="宋体" w:cs="宋体"/>
          <w:bCs/>
          <w:color w:val="auto"/>
          <w:sz w:val="24"/>
          <w:highlight w:val="none"/>
        </w:rPr>
        <w:t>供应商</w:t>
      </w:r>
      <w:r>
        <w:rPr>
          <w:rFonts w:ascii="宋体" w:hAnsi="宋体" w:cs="宋体"/>
          <w:color w:val="auto"/>
          <w:sz w:val="24"/>
          <w:highlight w:val="none"/>
        </w:rPr>
        <w:t>实行差别待遇或者歧视待遇：潜在供应商（</w:t>
      </w:r>
      <w:r>
        <w:rPr>
          <w:rFonts w:ascii="宋体" w:hAnsi="宋体" w:cs="宋体"/>
          <w:bCs/>
          <w:color w:val="auto"/>
          <w:sz w:val="24"/>
          <w:highlight w:val="none"/>
        </w:rPr>
        <w:t>供应商</w:t>
      </w:r>
      <w:r>
        <w:rPr>
          <w:rFonts w:ascii="宋体" w:hAnsi="宋体" w:cs="宋体"/>
          <w:color w:val="auto"/>
          <w:sz w:val="24"/>
          <w:highlight w:val="none"/>
        </w:rPr>
        <w:t>）可向有关部门提起质疑、投诉：</w:t>
      </w:r>
    </w:p>
    <w:p w14:paraId="35E00E2A">
      <w:pPr>
        <w:tabs>
          <w:tab w:val="left" w:pos="315"/>
        </w:tabs>
        <w:spacing w:line="600" w:lineRule="exact"/>
        <w:ind w:firstLine="480" w:firstLineChars="200"/>
        <w:rPr>
          <w:rFonts w:ascii="宋体" w:hAnsi="宋体" w:cs="宋体"/>
          <w:color w:val="auto"/>
          <w:sz w:val="24"/>
          <w:highlight w:val="none"/>
        </w:rPr>
      </w:pPr>
      <w:r>
        <w:rPr>
          <w:rFonts w:ascii="宋体" w:hAnsi="宋体" w:cs="宋体"/>
          <w:color w:val="auto"/>
          <w:sz w:val="24"/>
          <w:highlight w:val="none"/>
        </w:rPr>
        <w:t>（一）就同一采购项目向</w:t>
      </w:r>
      <w:r>
        <w:rPr>
          <w:rFonts w:ascii="宋体" w:hAnsi="宋体" w:cs="宋体"/>
          <w:bCs/>
          <w:color w:val="auto"/>
          <w:sz w:val="24"/>
          <w:highlight w:val="none"/>
        </w:rPr>
        <w:t>供应商</w:t>
      </w:r>
      <w:r>
        <w:rPr>
          <w:rFonts w:ascii="宋体" w:hAnsi="宋体" w:cs="宋体"/>
          <w:color w:val="auto"/>
          <w:sz w:val="24"/>
          <w:highlight w:val="none"/>
        </w:rPr>
        <w:t>提供有差别的项目信息；</w:t>
      </w:r>
    </w:p>
    <w:p w14:paraId="4E519282">
      <w:pPr>
        <w:tabs>
          <w:tab w:val="left" w:pos="315"/>
        </w:tabs>
        <w:spacing w:line="600" w:lineRule="exact"/>
        <w:ind w:firstLine="480" w:firstLineChars="200"/>
        <w:rPr>
          <w:rFonts w:ascii="宋体" w:hAnsi="宋体" w:cs="宋体"/>
          <w:color w:val="auto"/>
          <w:sz w:val="24"/>
          <w:highlight w:val="none"/>
        </w:rPr>
      </w:pPr>
      <w:r>
        <w:rPr>
          <w:rFonts w:ascii="宋体" w:hAnsi="宋体" w:cs="宋体"/>
          <w:color w:val="auto"/>
          <w:sz w:val="24"/>
          <w:highlight w:val="none"/>
        </w:rPr>
        <w:t>（二）设定的资格、技术、商务条件与采购项目的具体特点和实际需要不相适应或者与合同履行无关；</w:t>
      </w:r>
    </w:p>
    <w:p w14:paraId="56F90002">
      <w:pPr>
        <w:tabs>
          <w:tab w:val="left" w:pos="315"/>
        </w:tabs>
        <w:spacing w:line="600" w:lineRule="exact"/>
        <w:ind w:firstLine="480" w:firstLineChars="200"/>
        <w:rPr>
          <w:rFonts w:ascii="宋体" w:hAnsi="宋体" w:cs="宋体"/>
          <w:color w:val="auto"/>
          <w:sz w:val="24"/>
          <w:highlight w:val="none"/>
        </w:rPr>
      </w:pPr>
      <w:r>
        <w:rPr>
          <w:rFonts w:ascii="宋体" w:hAnsi="宋体" w:cs="宋体"/>
          <w:color w:val="auto"/>
          <w:sz w:val="24"/>
          <w:highlight w:val="none"/>
        </w:rPr>
        <w:t>（三）采购需求中的技术、服务等要求指向特定</w:t>
      </w:r>
      <w:r>
        <w:rPr>
          <w:rFonts w:ascii="宋体" w:hAnsi="宋体" w:cs="宋体"/>
          <w:bCs/>
          <w:color w:val="auto"/>
          <w:sz w:val="24"/>
          <w:highlight w:val="none"/>
        </w:rPr>
        <w:t>供应商</w:t>
      </w:r>
      <w:r>
        <w:rPr>
          <w:rFonts w:ascii="宋体" w:hAnsi="宋体" w:cs="宋体"/>
          <w:color w:val="auto"/>
          <w:sz w:val="24"/>
          <w:highlight w:val="none"/>
        </w:rPr>
        <w:t>、特定产品；</w:t>
      </w:r>
    </w:p>
    <w:p w14:paraId="7E730747">
      <w:pPr>
        <w:tabs>
          <w:tab w:val="left" w:pos="315"/>
        </w:tabs>
        <w:spacing w:line="600" w:lineRule="exact"/>
        <w:ind w:firstLine="480" w:firstLineChars="200"/>
        <w:rPr>
          <w:rFonts w:ascii="宋体" w:hAnsi="宋体" w:cs="宋体"/>
          <w:color w:val="auto"/>
          <w:sz w:val="24"/>
          <w:highlight w:val="none"/>
        </w:rPr>
      </w:pPr>
      <w:r>
        <w:rPr>
          <w:rFonts w:ascii="宋体" w:hAnsi="宋体" w:cs="宋体"/>
          <w:color w:val="auto"/>
          <w:sz w:val="24"/>
          <w:highlight w:val="none"/>
        </w:rPr>
        <w:t>（四）以特定行政区域或者特定行业的业绩、奖项作为加分条件或者中标、成交条件；</w:t>
      </w:r>
    </w:p>
    <w:p w14:paraId="3FABF9B2">
      <w:pPr>
        <w:tabs>
          <w:tab w:val="left" w:pos="315"/>
        </w:tabs>
        <w:spacing w:line="600" w:lineRule="exact"/>
        <w:ind w:firstLine="480" w:firstLineChars="200"/>
        <w:rPr>
          <w:rFonts w:ascii="宋体" w:hAnsi="宋体" w:cs="宋体"/>
          <w:color w:val="auto"/>
          <w:sz w:val="24"/>
          <w:highlight w:val="none"/>
        </w:rPr>
      </w:pPr>
      <w:r>
        <w:rPr>
          <w:rFonts w:ascii="宋体" w:hAnsi="宋体" w:cs="宋体"/>
          <w:color w:val="auto"/>
          <w:sz w:val="24"/>
          <w:highlight w:val="none"/>
        </w:rPr>
        <w:t>（五）对</w:t>
      </w:r>
      <w:r>
        <w:rPr>
          <w:rFonts w:ascii="宋体" w:hAnsi="宋体" w:cs="宋体"/>
          <w:bCs/>
          <w:color w:val="auto"/>
          <w:sz w:val="24"/>
          <w:highlight w:val="none"/>
        </w:rPr>
        <w:t>供应商</w:t>
      </w:r>
      <w:r>
        <w:rPr>
          <w:rFonts w:ascii="宋体" w:hAnsi="宋体" w:cs="宋体"/>
          <w:color w:val="auto"/>
          <w:sz w:val="24"/>
          <w:highlight w:val="none"/>
        </w:rPr>
        <w:t>采取不同的资格审查或者评审标准；</w:t>
      </w:r>
    </w:p>
    <w:p w14:paraId="6AA62806">
      <w:pPr>
        <w:tabs>
          <w:tab w:val="left" w:pos="315"/>
        </w:tabs>
        <w:spacing w:line="600" w:lineRule="exact"/>
        <w:ind w:firstLine="480" w:firstLineChars="200"/>
        <w:rPr>
          <w:rFonts w:ascii="宋体" w:hAnsi="宋体" w:cs="宋体"/>
          <w:color w:val="auto"/>
          <w:sz w:val="24"/>
          <w:highlight w:val="none"/>
        </w:rPr>
      </w:pPr>
      <w:r>
        <w:rPr>
          <w:rFonts w:ascii="宋体" w:hAnsi="宋体" w:cs="宋体"/>
          <w:color w:val="auto"/>
          <w:sz w:val="24"/>
          <w:highlight w:val="none"/>
        </w:rPr>
        <w:t>（六）限定或者指定特定的专利、商标、品牌或者</w:t>
      </w:r>
      <w:r>
        <w:rPr>
          <w:rFonts w:ascii="宋体" w:hAnsi="宋体" w:cs="宋体"/>
          <w:bCs/>
          <w:color w:val="auto"/>
          <w:sz w:val="24"/>
          <w:highlight w:val="none"/>
        </w:rPr>
        <w:t>供应商</w:t>
      </w:r>
      <w:r>
        <w:rPr>
          <w:rFonts w:ascii="宋体" w:hAnsi="宋体" w:cs="宋体"/>
          <w:color w:val="auto"/>
          <w:sz w:val="24"/>
          <w:highlight w:val="none"/>
        </w:rPr>
        <w:t>；</w:t>
      </w:r>
    </w:p>
    <w:p w14:paraId="3449772A">
      <w:pPr>
        <w:tabs>
          <w:tab w:val="left" w:pos="315"/>
        </w:tabs>
        <w:spacing w:line="600" w:lineRule="exact"/>
        <w:ind w:firstLine="480" w:firstLineChars="200"/>
        <w:rPr>
          <w:rFonts w:ascii="宋体" w:hAnsi="宋体" w:cs="宋体"/>
          <w:color w:val="auto"/>
          <w:sz w:val="24"/>
          <w:highlight w:val="none"/>
        </w:rPr>
      </w:pPr>
      <w:r>
        <w:rPr>
          <w:rFonts w:ascii="宋体" w:hAnsi="宋体" w:cs="宋体"/>
          <w:color w:val="auto"/>
          <w:sz w:val="24"/>
          <w:highlight w:val="none"/>
        </w:rPr>
        <w:t>（七）非法限定</w:t>
      </w:r>
      <w:r>
        <w:rPr>
          <w:rFonts w:ascii="宋体" w:hAnsi="宋体" w:cs="宋体"/>
          <w:bCs/>
          <w:color w:val="auto"/>
          <w:sz w:val="24"/>
          <w:highlight w:val="none"/>
        </w:rPr>
        <w:t>供应商</w:t>
      </w:r>
      <w:r>
        <w:rPr>
          <w:rFonts w:ascii="宋体" w:hAnsi="宋体" w:cs="宋体"/>
          <w:color w:val="auto"/>
          <w:sz w:val="24"/>
          <w:highlight w:val="none"/>
        </w:rPr>
        <w:t>的所有制形式、组织形式或者所在地；</w:t>
      </w:r>
    </w:p>
    <w:p w14:paraId="0F730ABC">
      <w:pPr>
        <w:tabs>
          <w:tab w:val="left" w:pos="315"/>
        </w:tabs>
        <w:spacing w:line="600" w:lineRule="exact"/>
        <w:ind w:firstLine="480" w:firstLineChars="200"/>
        <w:rPr>
          <w:rFonts w:ascii="宋体" w:hAnsi="宋体" w:cs="宋体"/>
          <w:color w:val="auto"/>
          <w:sz w:val="24"/>
          <w:highlight w:val="none"/>
        </w:rPr>
      </w:pPr>
      <w:r>
        <w:rPr>
          <w:rFonts w:ascii="宋体" w:hAnsi="宋体" w:cs="宋体"/>
          <w:color w:val="auto"/>
          <w:sz w:val="24"/>
          <w:highlight w:val="none"/>
        </w:rPr>
        <w:t>（八）以其他不合理条件限制或者排斥潜在</w:t>
      </w:r>
      <w:r>
        <w:rPr>
          <w:rFonts w:ascii="宋体" w:hAnsi="宋体" w:cs="宋体"/>
          <w:bCs/>
          <w:color w:val="auto"/>
          <w:sz w:val="24"/>
          <w:highlight w:val="none"/>
        </w:rPr>
        <w:t>供应商</w:t>
      </w:r>
      <w:r>
        <w:rPr>
          <w:rFonts w:ascii="宋体" w:hAnsi="宋体" w:cs="宋体"/>
          <w:color w:val="auto"/>
          <w:sz w:val="24"/>
          <w:highlight w:val="none"/>
        </w:rPr>
        <w:t>。</w:t>
      </w:r>
    </w:p>
    <w:p w14:paraId="5CB7C476">
      <w:pPr>
        <w:tabs>
          <w:tab w:val="left" w:pos="315"/>
        </w:tabs>
        <w:spacing w:line="600" w:lineRule="exact"/>
        <w:ind w:firstLine="480" w:firstLineChars="200"/>
        <w:rPr>
          <w:rFonts w:ascii="宋体" w:hAnsi="宋体" w:cs="宋体"/>
          <w:color w:val="auto"/>
          <w:sz w:val="24"/>
          <w:highlight w:val="none"/>
        </w:rPr>
      </w:pPr>
      <w:r>
        <w:rPr>
          <w:rFonts w:ascii="宋体" w:hAnsi="宋体" w:cs="宋体"/>
          <w:color w:val="auto"/>
          <w:sz w:val="24"/>
          <w:highlight w:val="none"/>
        </w:rPr>
        <w:t>2、质疑方式及电话：</w:t>
      </w:r>
    </w:p>
    <w:p w14:paraId="4C166914">
      <w:pPr>
        <w:adjustRightInd w:val="0"/>
        <w:snapToGrid w:val="0"/>
        <w:spacing w:line="600" w:lineRule="exact"/>
        <w:ind w:firstLine="480" w:firstLineChars="200"/>
        <w:rPr>
          <w:rFonts w:hint="eastAsia" w:ascii="宋体" w:hAnsi="宋体" w:eastAsia="宋体" w:cs="宋体"/>
          <w:color w:val="auto"/>
          <w:kern w:val="0"/>
          <w:sz w:val="24"/>
          <w:highlight w:val="none"/>
          <w:lang w:eastAsia="zh-CN"/>
        </w:rPr>
      </w:pPr>
      <w:r>
        <w:rPr>
          <w:rFonts w:ascii="宋体" w:hAnsi="宋体" w:cs="宋体"/>
          <w:color w:val="auto"/>
          <w:sz w:val="24"/>
          <w:highlight w:val="none"/>
        </w:rPr>
        <w:t>采 购 人：</w:t>
      </w:r>
      <w:r>
        <w:rPr>
          <w:rFonts w:hint="eastAsia" w:ascii="宋体" w:hAnsi="宋体" w:cs="宋体"/>
          <w:color w:val="auto"/>
          <w:kern w:val="0"/>
          <w:sz w:val="24"/>
          <w:highlight w:val="none"/>
          <w:lang w:eastAsia="zh-CN"/>
        </w:rPr>
        <w:t>邹城市钢山街道龙山社区居民委员会</w:t>
      </w:r>
    </w:p>
    <w:p w14:paraId="7D7B8C67">
      <w:pPr>
        <w:tabs>
          <w:tab w:val="left" w:pos="315"/>
        </w:tabs>
        <w:spacing w:line="600" w:lineRule="exact"/>
        <w:ind w:firstLine="480" w:firstLineChars="200"/>
        <w:rPr>
          <w:rFonts w:ascii="宋体" w:hAnsi="宋体" w:cs="宋体"/>
          <w:color w:val="auto"/>
          <w:kern w:val="0"/>
          <w:sz w:val="24"/>
          <w:highlight w:val="none"/>
        </w:rPr>
      </w:pPr>
      <w:r>
        <w:rPr>
          <w:rFonts w:ascii="宋体" w:hAnsi="宋体" w:cs="宋体"/>
          <w:color w:val="auto"/>
          <w:sz w:val="24"/>
          <w:highlight w:val="none"/>
        </w:rPr>
        <w:t>地    址：</w:t>
      </w:r>
      <w:r>
        <w:rPr>
          <w:rFonts w:hint="eastAsia" w:ascii="宋体" w:hAnsi="宋体" w:cs="宋体"/>
          <w:color w:val="auto"/>
          <w:sz w:val="24"/>
          <w:highlight w:val="none"/>
          <w:lang w:eastAsia="zh-CN"/>
        </w:rPr>
        <w:t>邹城市龙山北路</w:t>
      </w:r>
    </w:p>
    <w:p w14:paraId="70F87AB5">
      <w:pPr>
        <w:spacing w:line="600" w:lineRule="exact"/>
        <w:ind w:firstLine="480" w:firstLineChars="200"/>
        <w:rPr>
          <w:rFonts w:ascii="宋体" w:hAnsi="宋体" w:cs="宋体"/>
          <w:color w:val="auto"/>
          <w:sz w:val="24"/>
          <w:highlight w:val="none"/>
        </w:rPr>
      </w:pPr>
      <w:r>
        <w:rPr>
          <w:rFonts w:ascii="宋体" w:hAnsi="宋体" w:cs="宋体"/>
          <w:color w:val="auto"/>
          <w:sz w:val="24"/>
          <w:highlight w:val="none"/>
        </w:rPr>
        <w:t>联 系 人：</w:t>
      </w:r>
      <w:r>
        <w:rPr>
          <w:rFonts w:hint="eastAsia" w:ascii="宋体" w:hAnsi="宋体" w:cs="宋体"/>
          <w:color w:val="auto"/>
          <w:sz w:val="24"/>
          <w:highlight w:val="none"/>
          <w:lang w:eastAsia="zh-CN"/>
        </w:rPr>
        <w:t>王主任</w:t>
      </w:r>
    </w:p>
    <w:p w14:paraId="7B1A9E18">
      <w:pPr>
        <w:spacing w:line="600" w:lineRule="exact"/>
        <w:ind w:firstLine="480" w:firstLineChars="200"/>
        <w:rPr>
          <w:rFonts w:ascii="宋体" w:hAnsi="宋体" w:cs="宋体"/>
          <w:color w:val="auto"/>
          <w:sz w:val="24"/>
          <w:highlight w:val="none"/>
        </w:rPr>
      </w:pPr>
      <w:r>
        <w:rPr>
          <w:rFonts w:ascii="宋体" w:hAnsi="宋体" w:cs="宋体"/>
          <w:color w:val="auto"/>
          <w:sz w:val="24"/>
          <w:highlight w:val="none"/>
        </w:rPr>
        <w:t>联系电话：</w:t>
      </w:r>
      <w:r>
        <w:rPr>
          <w:rFonts w:hint="eastAsia" w:ascii="宋体" w:hAnsi="宋体" w:cs="宋体"/>
          <w:color w:val="auto"/>
          <w:sz w:val="24"/>
          <w:highlight w:val="none"/>
          <w:lang w:eastAsia="zh-CN"/>
        </w:rPr>
        <w:t>18053725683</w:t>
      </w:r>
    </w:p>
    <w:p w14:paraId="1C959332">
      <w:pPr>
        <w:tabs>
          <w:tab w:val="left" w:pos="315"/>
        </w:tabs>
        <w:spacing w:line="600" w:lineRule="exact"/>
        <w:ind w:firstLine="480" w:firstLineChars="200"/>
        <w:rPr>
          <w:rFonts w:hint="eastAsia" w:ascii="宋体" w:hAnsi="宋体" w:eastAsia="宋体" w:cs="宋体"/>
          <w:color w:val="auto"/>
          <w:sz w:val="24"/>
          <w:highlight w:val="none"/>
          <w:lang w:eastAsia="zh-CN"/>
        </w:rPr>
      </w:pPr>
      <w:r>
        <w:rPr>
          <w:rFonts w:ascii="宋体" w:hAnsi="宋体" w:cs="宋体"/>
          <w:color w:val="auto"/>
          <w:sz w:val="24"/>
          <w:highlight w:val="none"/>
        </w:rPr>
        <w:t>代理机构：</w:t>
      </w:r>
      <w:r>
        <w:rPr>
          <w:rFonts w:hint="eastAsia" w:ascii="宋体" w:hAnsi="宋体" w:cs="宋体"/>
          <w:color w:val="auto"/>
          <w:sz w:val="24"/>
          <w:highlight w:val="none"/>
          <w:lang w:eastAsia="zh-CN"/>
        </w:rPr>
        <w:t>济宁志合工程咨询有限公司</w:t>
      </w:r>
    </w:p>
    <w:p w14:paraId="34B5E388">
      <w:pPr>
        <w:tabs>
          <w:tab w:val="left" w:pos="315"/>
        </w:tabs>
        <w:spacing w:line="600" w:lineRule="exact"/>
        <w:ind w:firstLine="480" w:firstLineChars="200"/>
        <w:rPr>
          <w:rFonts w:hint="default" w:ascii="宋体" w:hAnsi="宋体" w:eastAsia="宋体" w:cs="宋体"/>
          <w:color w:val="auto"/>
          <w:kern w:val="0"/>
          <w:sz w:val="24"/>
          <w:highlight w:val="none"/>
          <w:lang w:val="en-US" w:eastAsia="zh-CN"/>
        </w:rPr>
      </w:pPr>
      <w:r>
        <w:rPr>
          <w:rFonts w:ascii="宋体" w:hAnsi="宋体" w:cs="宋体"/>
          <w:color w:val="auto"/>
          <w:sz w:val="24"/>
          <w:highlight w:val="none"/>
        </w:rPr>
        <w:t>地    址：</w:t>
      </w:r>
      <w:r>
        <w:rPr>
          <w:rFonts w:hint="eastAsia" w:ascii="宋体" w:hAnsi="宋体" w:cs="宋体"/>
          <w:color w:val="auto"/>
          <w:sz w:val="24"/>
          <w:highlight w:val="none"/>
          <w:lang w:eastAsia="zh-CN"/>
        </w:rPr>
        <w:t>邹城市双创园区昊宇大厦A座八楼</w:t>
      </w:r>
    </w:p>
    <w:p w14:paraId="7A1F4AAE">
      <w:pPr>
        <w:tabs>
          <w:tab w:val="left" w:pos="315"/>
        </w:tabs>
        <w:spacing w:line="600" w:lineRule="exact"/>
        <w:ind w:firstLine="480" w:firstLineChars="200"/>
        <w:rPr>
          <w:rFonts w:hint="eastAsia" w:ascii="宋体" w:hAnsi="宋体" w:eastAsia="宋体" w:cs="宋体"/>
          <w:color w:val="auto"/>
          <w:sz w:val="24"/>
          <w:highlight w:val="none"/>
          <w:lang w:eastAsia="zh-CN"/>
        </w:rPr>
      </w:pPr>
      <w:r>
        <w:rPr>
          <w:rFonts w:ascii="宋体" w:hAnsi="宋体" w:cs="宋体"/>
          <w:color w:val="auto"/>
          <w:sz w:val="24"/>
          <w:highlight w:val="none"/>
        </w:rPr>
        <w:t>联 系 人：</w:t>
      </w:r>
      <w:r>
        <w:rPr>
          <w:rFonts w:hint="eastAsia" w:ascii="宋体" w:hAnsi="宋体" w:cs="宋体"/>
          <w:color w:val="auto"/>
          <w:sz w:val="24"/>
          <w:highlight w:val="none"/>
          <w:lang w:eastAsia="zh-CN"/>
        </w:rPr>
        <w:t>高德鑫</w:t>
      </w:r>
    </w:p>
    <w:p w14:paraId="1ADCD6DA">
      <w:pPr>
        <w:tabs>
          <w:tab w:val="left" w:pos="315"/>
        </w:tabs>
        <w:spacing w:line="600" w:lineRule="exact"/>
        <w:ind w:firstLine="480" w:firstLineChars="200"/>
        <w:rPr>
          <w:rFonts w:hint="eastAsia" w:ascii="宋体" w:hAnsi="宋体" w:eastAsia="宋体" w:cs="宋体"/>
          <w:color w:val="auto"/>
          <w:sz w:val="24"/>
          <w:highlight w:val="none"/>
          <w:lang w:eastAsia="zh-CN"/>
        </w:rPr>
      </w:pPr>
      <w:r>
        <w:rPr>
          <w:rFonts w:ascii="宋体" w:hAnsi="宋体" w:cs="宋体"/>
          <w:color w:val="auto"/>
          <w:sz w:val="24"/>
          <w:highlight w:val="none"/>
        </w:rPr>
        <w:t>联系电话：</w:t>
      </w:r>
      <w:r>
        <w:rPr>
          <w:rFonts w:hint="eastAsia" w:ascii="宋体" w:hAnsi="宋体" w:cs="宋体"/>
          <w:color w:val="auto"/>
          <w:sz w:val="24"/>
          <w:highlight w:val="none"/>
          <w:lang w:eastAsia="zh-CN"/>
        </w:rPr>
        <w:t>15054773787</w:t>
      </w:r>
    </w:p>
    <w:p w14:paraId="5D726FFB">
      <w:pPr>
        <w:tabs>
          <w:tab w:val="left" w:pos="315"/>
        </w:tabs>
        <w:spacing w:line="600" w:lineRule="exact"/>
        <w:ind w:firstLine="480" w:firstLineChars="200"/>
        <w:rPr>
          <w:color w:val="auto"/>
          <w:highlight w:val="none"/>
        </w:rPr>
      </w:pPr>
      <w:r>
        <w:rPr>
          <w:rFonts w:ascii="宋体" w:hAnsi="宋体" w:cs="宋体"/>
          <w:color w:val="auto"/>
          <w:sz w:val="24"/>
          <w:highlight w:val="none"/>
        </w:rPr>
        <w:fldChar w:fldCharType="begin"/>
      </w:r>
      <w:r>
        <w:rPr>
          <w:rFonts w:ascii="宋体" w:hAnsi="宋体" w:cs="宋体"/>
          <w:color w:val="auto"/>
          <w:sz w:val="24"/>
          <w:highlight w:val="none"/>
        </w:rPr>
        <w:instrText xml:space="preserve"> HYPERLINK "mailto:所有质疑以书面形式递交，同时发邮件至tqzcxmb@163.com" </w:instrText>
      </w:r>
      <w:r>
        <w:rPr>
          <w:rFonts w:ascii="宋体" w:hAnsi="宋体" w:cs="宋体"/>
          <w:color w:val="auto"/>
          <w:sz w:val="24"/>
          <w:highlight w:val="none"/>
        </w:rPr>
        <w:fldChar w:fldCharType="separate"/>
      </w:r>
      <w:r>
        <w:rPr>
          <w:rStyle w:val="17"/>
          <w:rFonts w:ascii="宋体" w:hAnsi="宋体" w:cs="宋体"/>
          <w:color w:val="auto"/>
          <w:sz w:val="24"/>
          <w:highlight w:val="none"/>
        </w:rPr>
        <w:t>所有质疑以书面形式递交，同时发邮件至</w:t>
      </w:r>
      <w:r>
        <w:rPr>
          <w:rStyle w:val="17"/>
          <w:rFonts w:hint="eastAsia" w:ascii="宋体" w:hAnsi="宋体" w:cs="宋体"/>
          <w:color w:val="auto"/>
          <w:sz w:val="24"/>
          <w:highlight w:val="none"/>
          <w:lang w:eastAsia="zh-CN"/>
        </w:rPr>
        <w:t>a15953732018@163.com</w:t>
      </w:r>
      <w:r>
        <w:rPr>
          <w:rFonts w:ascii="宋体" w:hAnsi="宋体" w:cs="宋体"/>
          <w:color w:val="auto"/>
          <w:sz w:val="24"/>
          <w:highlight w:val="none"/>
        </w:rPr>
        <w:fldChar w:fldCharType="end"/>
      </w:r>
    </w:p>
    <w:p w14:paraId="2326AB06">
      <w:pPr>
        <w:tabs>
          <w:tab w:val="left" w:pos="315"/>
        </w:tabs>
        <w:spacing w:line="560" w:lineRule="exact"/>
        <w:jc w:val="center"/>
        <w:outlineLvl w:val="0"/>
        <w:rPr>
          <w:rFonts w:ascii="宋体" w:hAnsi="宋体" w:cs="宋体"/>
          <w:b/>
          <w:color w:val="auto"/>
          <w:sz w:val="24"/>
          <w:highlight w:val="none"/>
        </w:rPr>
      </w:pPr>
      <w:r>
        <w:rPr>
          <w:rFonts w:ascii="宋体" w:hAnsi="宋体" w:cs="宋体"/>
          <w:b/>
          <w:color w:val="auto"/>
          <w:sz w:val="24"/>
          <w:highlight w:val="none"/>
        </w:rPr>
        <w:br w:type="page"/>
      </w:r>
      <w:bookmarkStart w:id="13" w:name="_Toc13343_WPSOffice_Level1"/>
      <w:bookmarkStart w:id="14" w:name="_Toc11948"/>
      <w:bookmarkStart w:id="15" w:name="_Toc19927"/>
      <w:r>
        <w:rPr>
          <w:rFonts w:ascii="宋体" w:hAnsi="宋体" w:cs="宋体"/>
          <w:b/>
          <w:color w:val="auto"/>
          <w:sz w:val="24"/>
          <w:highlight w:val="none"/>
        </w:rPr>
        <w:t>第三部分  磋商组织、步骤与评审方法</w:t>
      </w:r>
      <w:bookmarkEnd w:id="13"/>
      <w:bookmarkEnd w:id="14"/>
      <w:bookmarkEnd w:id="15"/>
    </w:p>
    <w:p w14:paraId="11932797">
      <w:pPr>
        <w:spacing w:line="560" w:lineRule="exact"/>
        <w:ind w:firstLine="482" w:firstLineChars="200"/>
        <w:rPr>
          <w:rFonts w:ascii="宋体" w:hAnsi="宋体" w:cs="宋体"/>
          <w:b/>
          <w:color w:val="auto"/>
          <w:sz w:val="24"/>
          <w:highlight w:val="none"/>
        </w:rPr>
      </w:pPr>
      <w:r>
        <w:rPr>
          <w:rFonts w:ascii="宋体" w:hAnsi="宋体" w:cs="宋体"/>
          <w:b/>
          <w:color w:val="auto"/>
          <w:sz w:val="24"/>
          <w:highlight w:val="none"/>
        </w:rPr>
        <w:t>一、磋商组织：</w:t>
      </w:r>
    </w:p>
    <w:p w14:paraId="303B9F66">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1、采购人在磋商文件规定的时间和地点组织磋商，响应供应商须派代表参加；</w:t>
      </w:r>
    </w:p>
    <w:p w14:paraId="04D58B1C">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2、磋商小组由三人（含）以上单数的人员组成，其中专家的人数不少于成员总数的三分之二，磋商小组对磋商响应文件进行审查、质疑、评估和比较。</w:t>
      </w:r>
    </w:p>
    <w:p w14:paraId="32CDEF9A">
      <w:pPr>
        <w:spacing w:line="560" w:lineRule="exact"/>
        <w:ind w:firstLine="482" w:firstLineChars="200"/>
        <w:rPr>
          <w:rFonts w:ascii="宋体" w:hAnsi="宋体" w:cs="宋体"/>
          <w:b/>
          <w:color w:val="auto"/>
          <w:sz w:val="24"/>
          <w:highlight w:val="none"/>
        </w:rPr>
      </w:pPr>
      <w:r>
        <w:rPr>
          <w:rFonts w:ascii="宋体" w:hAnsi="宋体" w:cs="宋体"/>
          <w:b/>
          <w:color w:val="auto"/>
          <w:sz w:val="24"/>
          <w:highlight w:val="none"/>
        </w:rPr>
        <w:t>二、磋商步骤：</w:t>
      </w:r>
    </w:p>
    <w:p w14:paraId="2123F3DF">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1、检查磋商响应文件密封情况：由各响应供应商对递交的磋商响应文件密封情况进行检查；</w:t>
      </w:r>
    </w:p>
    <w:p w14:paraId="774E975C">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2、磋商响应文件初步审核：</w:t>
      </w:r>
      <w:r>
        <w:rPr>
          <w:rFonts w:ascii="宋体" w:hAnsi="宋体" w:cs="宋体"/>
          <w:bCs/>
          <w:color w:val="auto"/>
          <w:sz w:val="24"/>
          <w:highlight w:val="none"/>
        </w:rPr>
        <w:t>磋商</w:t>
      </w:r>
      <w:r>
        <w:rPr>
          <w:rFonts w:ascii="宋体" w:hAnsi="宋体" w:cs="宋体"/>
          <w:color w:val="auto"/>
          <w:sz w:val="24"/>
          <w:highlight w:val="none"/>
        </w:rPr>
        <w:t>小组对</w:t>
      </w:r>
      <w:r>
        <w:rPr>
          <w:rFonts w:ascii="宋体" w:hAnsi="宋体" w:cs="宋体"/>
          <w:bCs/>
          <w:color w:val="auto"/>
          <w:sz w:val="24"/>
          <w:highlight w:val="none"/>
        </w:rPr>
        <w:t>磋商</w:t>
      </w:r>
      <w:r>
        <w:rPr>
          <w:rFonts w:ascii="宋体" w:hAnsi="宋体" w:cs="宋体"/>
          <w:color w:val="auto"/>
          <w:sz w:val="24"/>
          <w:highlight w:val="none"/>
        </w:rPr>
        <w:t>响应文件进行符合性审核；</w:t>
      </w:r>
    </w:p>
    <w:p w14:paraId="2F88A7D4">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3、磋商小组所有成员集中与单一响应供应商分别</w:t>
      </w:r>
      <w:r>
        <w:rPr>
          <w:rFonts w:ascii="宋体" w:hAnsi="宋体" w:cs="宋体"/>
          <w:bCs/>
          <w:color w:val="auto"/>
          <w:sz w:val="24"/>
          <w:highlight w:val="none"/>
        </w:rPr>
        <w:t>磋商</w:t>
      </w:r>
      <w:r>
        <w:rPr>
          <w:rFonts w:ascii="宋体" w:hAnsi="宋体" w:cs="宋体"/>
          <w:color w:val="auto"/>
          <w:sz w:val="24"/>
          <w:highlight w:val="none"/>
        </w:rPr>
        <w:t>；</w:t>
      </w:r>
    </w:p>
    <w:p w14:paraId="56236309">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4、磋商结束后，所有参加磋商的响应供应商进行最终报价；</w:t>
      </w:r>
    </w:p>
    <w:p w14:paraId="327C98AA">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5、公开唱价：宣读“最终报价表”，记录员将公开报价内容记录并由各响应响应供应商签字确认；</w:t>
      </w:r>
    </w:p>
    <w:p w14:paraId="6E3ADEE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、磋商小组按照如下评审办法确定成交响应供应商。</w:t>
      </w:r>
    </w:p>
    <w:p w14:paraId="331D657C">
      <w:pPr>
        <w:spacing w:line="560" w:lineRule="exact"/>
        <w:rPr>
          <w:rFonts w:ascii="宋体" w:hAnsi="宋体" w:cs="宋体"/>
          <w:b/>
          <w:color w:val="auto"/>
          <w:sz w:val="24"/>
          <w:highlight w:val="none"/>
        </w:rPr>
      </w:pPr>
      <w:r>
        <w:rPr>
          <w:rFonts w:ascii="宋体" w:hAnsi="宋体" w:cs="宋体"/>
          <w:b/>
          <w:color w:val="auto"/>
          <w:sz w:val="24"/>
          <w:highlight w:val="none"/>
        </w:rPr>
        <w:t>三、评审办法：</w:t>
      </w:r>
    </w:p>
    <w:p w14:paraId="5FC92399">
      <w:pPr>
        <w:tabs>
          <w:tab w:val="left" w:pos="0"/>
          <w:tab w:val="left" w:pos="885"/>
          <w:tab w:val="left" w:pos="990"/>
        </w:tabs>
        <w:spacing w:line="560" w:lineRule="exact"/>
        <w:ind w:firstLine="569" w:firstLineChars="236"/>
        <w:rPr>
          <w:rFonts w:ascii="宋体" w:hAnsi="宋体" w:cs="宋体"/>
          <w:b/>
          <w:color w:val="auto"/>
          <w:sz w:val="24"/>
          <w:highlight w:val="none"/>
        </w:rPr>
      </w:pPr>
      <w:r>
        <w:rPr>
          <w:rFonts w:ascii="宋体" w:hAnsi="宋体" w:cs="宋体"/>
          <w:b/>
          <w:color w:val="auto"/>
          <w:sz w:val="24"/>
          <w:highlight w:val="none"/>
        </w:rPr>
        <w:t>本次评审采用综合评分法（百分制打分法），满分100分。</w:t>
      </w:r>
    </w:p>
    <w:p w14:paraId="34EBDB2A">
      <w:pPr>
        <w:tabs>
          <w:tab w:val="left" w:pos="0"/>
          <w:tab w:val="left" w:pos="885"/>
          <w:tab w:val="left" w:pos="990"/>
        </w:tabs>
        <w:spacing w:line="560" w:lineRule="exact"/>
        <w:ind w:firstLine="569" w:firstLineChars="236"/>
        <w:rPr>
          <w:rFonts w:ascii="宋体" w:hAnsi="宋体" w:cs="宋体"/>
          <w:b/>
          <w:color w:val="auto"/>
          <w:sz w:val="24"/>
          <w:highlight w:val="none"/>
        </w:rPr>
      </w:pPr>
      <w:r>
        <w:rPr>
          <w:rFonts w:ascii="宋体" w:hAnsi="宋体" w:cs="宋体"/>
          <w:b/>
          <w:color w:val="auto"/>
          <w:sz w:val="24"/>
          <w:highlight w:val="none"/>
        </w:rPr>
        <w:t>打分前，首先进行磋商响应文件的符合性评审。磋商响应文件应实质性响应磋商文件的所有条款、条件，所谓实质上响应是指磋商响应文件应与磋商文件的所有实质性条款、条件和规定相符，无显著差异或保留，或者对合同中约定的采购人的权利和响应供应商的义务方面未造成重大的限制，纠正这些显著差异或保留，不会对其他实质上响应磋商文件要求的响应供应商的竞争地位产生不公正的影响。磋商响应文件能实质性响应磋商文件的响应供应商进入评审打分阶段。</w:t>
      </w:r>
    </w:p>
    <w:p w14:paraId="05B49716">
      <w:pPr>
        <w:tabs>
          <w:tab w:val="left" w:pos="0"/>
          <w:tab w:val="left" w:pos="885"/>
          <w:tab w:val="left" w:pos="990"/>
        </w:tabs>
        <w:spacing w:line="560" w:lineRule="exact"/>
        <w:ind w:firstLine="569" w:firstLineChars="236"/>
        <w:rPr>
          <w:rFonts w:ascii="宋体" w:hAnsi="宋体" w:cs="宋体"/>
          <w:b/>
          <w:color w:val="auto"/>
          <w:sz w:val="24"/>
          <w:highlight w:val="none"/>
        </w:rPr>
      </w:pPr>
      <w:r>
        <w:rPr>
          <w:rFonts w:ascii="宋体" w:hAnsi="宋体" w:cs="宋体"/>
          <w:b/>
          <w:color w:val="auto"/>
          <w:sz w:val="24"/>
          <w:highlight w:val="none"/>
        </w:rPr>
        <w:t>按附表所述的评分标准，由磋商委员会成员对响应供应商的磋商响应文件进行综合评审，并打分。磋商委员会择优推荐成交侯选人。</w:t>
      </w:r>
    </w:p>
    <w:p w14:paraId="13AD5C23">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lang w:eastAsia="zh-CN"/>
        </w:rPr>
        <w:t>（</w:t>
      </w:r>
      <w:r>
        <w:rPr>
          <w:rFonts w:ascii="宋体" w:hAnsi="宋体" w:cs="宋体"/>
          <w:b/>
          <w:color w:val="auto"/>
          <w:sz w:val="24"/>
          <w:highlight w:val="none"/>
        </w:rPr>
        <w:t>一</w:t>
      </w:r>
      <w:r>
        <w:rPr>
          <w:rFonts w:hint="eastAsia" w:ascii="宋体" w:hAnsi="宋体" w:cs="宋体"/>
          <w:b/>
          <w:color w:val="auto"/>
          <w:sz w:val="24"/>
          <w:highlight w:val="none"/>
          <w:lang w:eastAsia="zh-CN"/>
        </w:rPr>
        <w:t>）</w:t>
      </w:r>
      <w:r>
        <w:rPr>
          <w:rFonts w:ascii="宋体" w:hAnsi="宋体" w:cs="宋体"/>
          <w:b/>
          <w:color w:val="auto"/>
          <w:sz w:val="24"/>
          <w:highlight w:val="none"/>
        </w:rPr>
        <w:t>、评审办法：</w:t>
      </w:r>
    </w:p>
    <w:p w14:paraId="5200F91C">
      <w:pPr>
        <w:tabs>
          <w:tab w:val="left" w:pos="0"/>
          <w:tab w:val="left" w:pos="885"/>
          <w:tab w:val="left" w:pos="990"/>
        </w:tabs>
        <w:spacing w:line="360" w:lineRule="auto"/>
        <w:ind w:firstLine="480" w:firstLineChars="200"/>
        <w:rPr>
          <w:rFonts w:hAnsi="宋体" w:cs="宋体"/>
          <w:color w:val="auto"/>
          <w:sz w:val="24"/>
          <w:highlight w:val="none"/>
        </w:rPr>
      </w:pPr>
      <w:r>
        <w:rPr>
          <w:rFonts w:hAnsi="宋体" w:cs="宋体"/>
          <w:color w:val="auto"/>
          <w:sz w:val="24"/>
          <w:highlight w:val="none"/>
        </w:rPr>
        <w:t>本项目采用综合评分法，是指响应文件满足磋商文件全部实质性要求且按评审因素的量化指标评审得分最高的磋商响应供应商为成交候选磋商响应供应商的评审方法。</w:t>
      </w:r>
    </w:p>
    <w:tbl>
      <w:tblPr>
        <w:tblStyle w:val="13"/>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545"/>
        <w:gridCol w:w="1045"/>
        <w:gridCol w:w="5559"/>
      </w:tblGrid>
      <w:tr w14:paraId="5387F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275" w:type="dxa"/>
            <w:gridSpan w:val="2"/>
            <w:noWrap w:val="0"/>
            <w:vAlign w:val="center"/>
          </w:tcPr>
          <w:p w14:paraId="04BF8493">
            <w:pPr>
              <w:jc w:val="center"/>
              <w:rPr>
                <w:rFonts w:ascii="宋体" w:hAnsi="宋体" w:cs="宋体"/>
                <w:b/>
                <w:color w:val="auto"/>
                <w:sz w:val="24"/>
                <w:highlight w:val="none"/>
              </w:rPr>
            </w:pPr>
            <w:r>
              <w:rPr>
                <w:rFonts w:ascii="宋体" w:hAnsi="宋体" w:cs="宋体"/>
                <w:b/>
                <w:color w:val="auto"/>
                <w:sz w:val="24"/>
                <w:highlight w:val="none"/>
              </w:rPr>
              <w:t>评分因素</w:t>
            </w:r>
          </w:p>
        </w:tc>
        <w:tc>
          <w:tcPr>
            <w:tcW w:w="1045" w:type="dxa"/>
            <w:noWrap w:val="0"/>
            <w:vAlign w:val="center"/>
          </w:tcPr>
          <w:p w14:paraId="1DF4F91C">
            <w:pPr>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满分</w:t>
            </w:r>
          </w:p>
        </w:tc>
        <w:tc>
          <w:tcPr>
            <w:tcW w:w="5559" w:type="dxa"/>
            <w:noWrap w:val="0"/>
            <w:vAlign w:val="center"/>
          </w:tcPr>
          <w:p w14:paraId="04BEE4A0">
            <w:pPr>
              <w:spacing w:line="400" w:lineRule="exact"/>
              <w:jc w:val="center"/>
              <w:rPr>
                <w:rFonts w:ascii="宋体" w:hAnsi="宋体" w:cs="宋体"/>
                <w:b/>
                <w:color w:val="auto"/>
                <w:sz w:val="24"/>
                <w:highlight w:val="none"/>
              </w:rPr>
            </w:pPr>
            <w:r>
              <w:rPr>
                <w:rFonts w:ascii="宋体" w:hAnsi="宋体" w:cs="宋体"/>
                <w:b/>
                <w:color w:val="auto"/>
                <w:sz w:val="24"/>
                <w:highlight w:val="none"/>
              </w:rPr>
              <w:t>评分标准</w:t>
            </w:r>
          </w:p>
        </w:tc>
      </w:tr>
      <w:tr w14:paraId="37E6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trPr>
        <w:tc>
          <w:tcPr>
            <w:tcW w:w="730" w:type="dxa"/>
            <w:tcBorders>
              <w:bottom w:val="single" w:color="auto" w:sz="4" w:space="0"/>
            </w:tcBorders>
            <w:noWrap w:val="0"/>
            <w:vAlign w:val="center"/>
          </w:tcPr>
          <w:p w14:paraId="7D167DC9">
            <w:pPr>
              <w:jc w:val="center"/>
              <w:rPr>
                <w:rFonts w:hint="default" w:ascii="宋体" w:hAnsi="宋体" w:eastAsia="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一</w:t>
            </w:r>
          </w:p>
        </w:tc>
        <w:tc>
          <w:tcPr>
            <w:tcW w:w="1545" w:type="dxa"/>
            <w:tcBorders>
              <w:bottom w:val="single" w:color="auto" w:sz="4" w:space="0"/>
            </w:tcBorders>
            <w:noWrap w:val="0"/>
            <w:vAlign w:val="center"/>
          </w:tcPr>
          <w:p w14:paraId="23F68AF5">
            <w:pPr>
              <w:jc w:val="center"/>
              <w:rPr>
                <w:rFonts w:hint="default"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报价得分</w:t>
            </w:r>
          </w:p>
        </w:tc>
        <w:tc>
          <w:tcPr>
            <w:tcW w:w="1045" w:type="dxa"/>
            <w:tcBorders>
              <w:bottom w:val="single" w:color="auto" w:sz="4" w:space="0"/>
            </w:tcBorders>
            <w:noWrap w:val="0"/>
            <w:vAlign w:val="center"/>
          </w:tcPr>
          <w:p w14:paraId="02E7C738">
            <w:pPr>
              <w:spacing w:line="360" w:lineRule="auto"/>
              <w:jc w:val="center"/>
              <w:rPr>
                <w:rFonts w:hint="default"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10分</w:t>
            </w:r>
          </w:p>
        </w:tc>
        <w:tc>
          <w:tcPr>
            <w:tcW w:w="5559" w:type="dxa"/>
            <w:tcBorders>
              <w:bottom w:val="single" w:color="auto" w:sz="4" w:space="0"/>
            </w:tcBorders>
            <w:noWrap w:val="0"/>
            <w:vAlign w:val="center"/>
          </w:tcPr>
          <w:p w14:paraId="685D3058">
            <w:pPr>
              <w:spacing w:line="360" w:lineRule="auto"/>
              <w:jc w:val="left"/>
              <w:rPr>
                <w:rFonts w:hint="eastAsia" w:ascii="宋体" w:hAnsi="宋体" w:cs="宋体"/>
                <w:b/>
                <w:color w:val="auto"/>
                <w:sz w:val="24"/>
                <w:highlight w:val="none"/>
                <w:lang w:val="en-US" w:eastAsia="zh-CN"/>
              </w:rPr>
            </w:pPr>
            <w:r>
              <w:rPr>
                <w:rFonts w:hint="eastAsia" w:ascii="宋体" w:hAnsi="宋体" w:cs="宋体"/>
                <w:b w:val="0"/>
                <w:bCs/>
                <w:color w:val="auto"/>
                <w:kern w:val="0"/>
                <w:sz w:val="24"/>
                <w:highlight w:val="none"/>
              </w:rPr>
              <w:t>供应商的报价得分统一采用最低价优先法计算，即满足磋商文件要求且最终报价最低的供应商的价格为磋商基准价，其报价得分为满分</w:t>
            </w:r>
            <w:r>
              <w:rPr>
                <w:rFonts w:hint="eastAsia" w:ascii="宋体" w:hAnsi="宋体" w:cs="宋体"/>
                <w:b w:val="0"/>
                <w:bCs/>
                <w:color w:val="auto"/>
                <w:kern w:val="0"/>
                <w:sz w:val="24"/>
                <w:highlight w:val="none"/>
                <w:lang w:val="en-US" w:eastAsia="zh-CN"/>
              </w:rPr>
              <w:t>10</w:t>
            </w:r>
            <w:r>
              <w:rPr>
                <w:rFonts w:hint="eastAsia" w:ascii="宋体" w:hAnsi="宋体" w:cs="宋体"/>
                <w:b w:val="0"/>
                <w:bCs/>
                <w:color w:val="auto"/>
                <w:kern w:val="0"/>
                <w:sz w:val="24"/>
                <w:highlight w:val="none"/>
              </w:rPr>
              <w:t>分。其他供应商的报价得分统一按照下列公式计算：磋商报价得分=（磋商基准价/最终磋商报价）</w:t>
            </w:r>
            <w:r>
              <w:rPr>
                <w:rFonts w:hint="eastAsia" w:ascii="宋体" w:hAnsi="宋体" w:cs="宋体"/>
                <w:b w:val="0"/>
                <w:bCs/>
                <w:color w:val="auto"/>
                <w:kern w:val="0"/>
                <w:sz w:val="24"/>
                <w:highlight w:val="none"/>
                <w:lang w:val="en-US" w:eastAsia="zh-CN"/>
              </w:rPr>
              <w:t>*10%*100</w:t>
            </w:r>
            <w:r>
              <w:rPr>
                <w:rFonts w:hint="eastAsia" w:ascii="宋体" w:hAnsi="宋体" w:cs="宋体"/>
                <w:b w:val="0"/>
                <w:bCs/>
                <w:color w:val="auto"/>
                <w:kern w:val="0"/>
                <w:sz w:val="24"/>
                <w:highlight w:val="none"/>
              </w:rPr>
              <w:t>。</w:t>
            </w:r>
          </w:p>
        </w:tc>
      </w:tr>
      <w:tr w14:paraId="21DE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30" w:type="dxa"/>
            <w:tcBorders>
              <w:bottom w:val="single" w:color="auto" w:sz="4" w:space="0"/>
            </w:tcBorders>
            <w:noWrap w:val="0"/>
            <w:vAlign w:val="center"/>
          </w:tcPr>
          <w:p w14:paraId="72B625E7">
            <w:pPr>
              <w:jc w:val="center"/>
              <w:rPr>
                <w:rFonts w:hint="eastAsia" w:ascii="宋体" w:hAnsi="宋体" w:eastAsia="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二</w:t>
            </w:r>
          </w:p>
        </w:tc>
        <w:tc>
          <w:tcPr>
            <w:tcW w:w="1545" w:type="dxa"/>
            <w:tcBorders>
              <w:bottom w:val="single" w:color="auto" w:sz="4" w:space="0"/>
            </w:tcBorders>
            <w:noWrap w:val="0"/>
            <w:vAlign w:val="center"/>
          </w:tcPr>
          <w:p w14:paraId="2A2B0AE3">
            <w:pPr>
              <w:jc w:val="center"/>
              <w:rPr>
                <w:rFonts w:hint="default" w:ascii="宋体" w:hAnsi="宋体" w:eastAsia="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技术得分</w:t>
            </w:r>
          </w:p>
        </w:tc>
        <w:tc>
          <w:tcPr>
            <w:tcW w:w="1045" w:type="dxa"/>
            <w:tcBorders>
              <w:bottom w:val="single" w:color="auto" w:sz="4" w:space="0"/>
            </w:tcBorders>
            <w:noWrap w:val="0"/>
            <w:vAlign w:val="center"/>
          </w:tcPr>
          <w:p w14:paraId="7AE54EE1">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lang w:val="en-US" w:eastAsia="zh-CN"/>
              </w:rPr>
              <w:t>80</w:t>
            </w:r>
            <w:r>
              <w:rPr>
                <w:rFonts w:ascii="宋体" w:hAnsi="宋体" w:cs="宋体"/>
                <w:b/>
                <w:bCs w:val="0"/>
                <w:color w:val="auto"/>
                <w:sz w:val="24"/>
                <w:highlight w:val="none"/>
              </w:rPr>
              <w:t>分</w:t>
            </w:r>
          </w:p>
        </w:tc>
        <w:tc>
          <w:tcPr>
            <w:tcW w:w="5559" w:type="dxa"/>
            <w:tcBorders>
              <w:bottom w:val="single" w:color="auto" w:sz="4" w:space="0"/>
            </w:tcBorders>
            <w:noWrap w:val="0"/>
            <w:vAlign w:val="center"/>
          </w:tcPr>
          <w:p w14:paraId="4F970027">
            <w:pPr>
              <w:spacing w:line="360" w:lineRule="auto"/>
              <w:jc w:val="center"/>
              <w:rPr>
                <w:rFonts w:hint="eastAsia" w:ascii="宋体" w:hAnsi="宋体" w:cs="宋体"/>
                <w:b/>
                <w:color w:val="auto"/>
                <w:sz w:val="24"/>
                <w:highlight w:val="none"/>
                <w:lang w:val="en-US" w:eastAsia="zh-CN"/>
              </w:rPr>
            </w:pPr>
          </w:p>
        </w:tc>
      </w:tr>
      <w:tr w14:paraId="1A8EE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730" w:type="dxa"/>
            <w:noWrap w:val="0"/>
            <w:vAlign w:val="center"/>
          </w:tcPr>
          <w:p w14:paraId="18C63C5C">
            <w:pPr>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1</w:t>
            </w:r>
          </w:p>
        </w:tc>
        <w:tc>
          <w:tcPr>
            <w:tcW w:w="1545" w:type="dxa"/>
            <w:noWrap w:val="0"/>
            <w:vAlign w:val="center"/>
          </w:tcPr>
          <w:p w14:paraId="208AEA19">
            <w:pPr>
              <w:jc w:val="center"/>
              <w:rPr>
                <w:rFonts w:ascii="宋体" w:hAnsi="宋体"/>
                <w:color w:val="auto"/>
                <w:sz w:val="24"/>
                <w:szCs w:val="24"/>
                <w:highlight w:val="none"/>
              </w:rPr>
            </w:pPr>
            <w:r>
              <w:rPr>
                <w:rFonts w:hint="eastAsia" w:ascii="宋体" w:hAnsi="宋体"/>
                <w:color w:val="auto"/>
                <w:sz w:val="24"/>
                <w:szCs w:val="24"/>
                <w:highlight w:val="none"/>
              </w:rPr>
              <w:t>绿化养护服务方案</w:t>
            </w:r>
          </w:p>
        </w:tc>
        <w:tc>
          <w:tcPr>
            <w:tcW w:w="1045" w:type="dxa"/>
            <w:noWrap w:val="0"/>
            <w:vAlign w:val="center"/>
          </w:tcPr>
          <w:p w14:paraId="7BBB38BB">
            <w:pPr>
              <w:jc w:val="center"/>
              <w:rPr>
                <w:rFonts w:hint="default" w:ascii="宋体" w:hAnsi="宋体"/>
                <w:color w:val="auto"/>
                <w:sz w:val="24"/>
                <w:szCs w:val="24"/>
                <w:highlight w:val="none"/>
                <w:lang w:val="en-US"/>
              </w:rPr>
            </w:pPr>
            <w:r>
              <w:rPr>
                <w:rFonts w:hint="eastAsia" w:ascii="宋体" w:hAnsi="宋体" w:cs="宋体"/>
                <w:bCs/>
                <w:color w:val="auto"/>
                <w:position w:val="2"/>
                <w:sz w:val="24"/>
                <w:highlight w:val="none"/>
                <w:lang w:val="en-US" w:eastAsia="zh-CN"/>
              </w:rPr>
              <w:t>16分</w:t>
            </w:r>
          </w:p>
        </w:tc>
        <w:tc>
          <w:tcPr>
            <w:tcW w:w="5559" w:type="dxa"/>
            <w:noWrap w:val="0"/>
            <w:vAlign w:val="center"/>
          </w:tcPr>
          <w:p w14:paraId="0747920B">
            <w:pPr>
              <w:jc w:val="left"/>
              <w:rPr>
                <w:rFonts w:ascii="宋体" w:hAnsi="宋体"/>
                <w:color w:val="auto"/>
                <w:sz w:val="24"/>
                <w:szCs w:val="24"/>
                <w:highlight w:val="none"/>
                <w:lang w:val="zh-CN"/>
              </w:rPr>
            </w:pPr>
            <w:r>
              <w:rPr>
                <w:rFonts w:hint="eastAsia" w:ascii="宋体" w:hAnsi="宋体"/>
                <w:color w:val="auto"/>
                <w:sz w:val="24"/>
                <w:szCs w:val="24"/>
                <w:highlight w:val="none"/>
              </w:rPr>
              <w:t>综合比较各供应商绿化养护服务方案，</w:t>
            </w:r>
            <w:r>
              <w:rPr>
                <w:rFonts w:ascii="宋体" w:hAnsi="宋体" w:cs="宋体"/>
                <w:color w:val="auto"/>
                <w:sz w:val="24"/>
                <w:highlight w:val="none"/>
                <w:lang w:val="zh-CN"/>
              </w:rPr>
              <w:t>优秀得</w:t>
            </w:r>
            <w:r>
              <w:rPr>
                <w:rFonts w:hint="eastAsia" w:ascii="宋体" w:hAnsi="宋体" w:cs="宋体"/>
                <w:color w:val="auto"/>
                <w:sz w:val="24"/>
                <w:highlight w:val="none"/>
                <w:lang w:val="en-US" w:eastAsia="zh-CN"/>
              </w:rPr>
              <w:t>11-16</w:t>
            </w:r>
            <w:r>
              <w:rPr>
                <w:rFonts w:ascii="宋体" w:hAnsi="宋体" w:cs="宋体"/>
                <w:color w:val="auto"/>
                <w:sz w:val="24"/>
                <w:highlight w:val="none"/>
                <w:lang w:val="zh-CN"/>
              </w:rPr>
              <w:t>分，较好得</w:t>
            </w:r>
            <w:r>
              <w:rPr>
                <w:rFonts w:hint="eastAsia" w:ascii="宋体" w:hAnsi="宋体" w:cs="宋体"/>
                <w:color w:val="auto"/>
                <w:sz w:val="24"/>
                <w:highlight w:val="none"/>
                <w:lang w:val="en-US" w:eastAsia="zh-CN"/>
              </w:rPr>
              <w:t>6-10</w:t>
            </w:r>
            <w:r>
              <w:rPr>
                <w:rFonts w:ascii="宋体" w:hAnsi="宋体" w:cs="宋体"/>
                <w:color w:val="auto"/>
                <w:sz w:val="24"/>
                <w:highlight w:val="none"/>
                <w:lang w:val="zh-CN"/>
              </w:rPr>
              <w:t>分，一般得</w:t>
            </w:r>
            <w:r>
              <w:rPr>
                <w:rFonts w:hint="eastAsia" w:ascii="宋体" w:hAnsi="宋体" w:cs="宋体"/>
                <w:color w:val="auto"/>
                <w:sz w:val="24"/>
                <w:highlight w:val="none"/>
                <w:lang w:val="zh-CN"/>
              </w:rPr>
              <w:t>1-5</w:t>
            </w:r>
            <w:r>
              <w:rPr>
                <w:rFonts w:ascii="宋体" w:hAnsi="宋体" w:cs="宋体"/>
                <w:color w:val="auto"/>
                <w:sz w:val="24"/>
                <w:highlight w:val="none"/>
                <w:lang w:val="zh-CN"/>
              </w:rPr>
              <w:t>分，没有该项不得分。</w:t>
            </w:r>
          </w:p>
        </w:tc>
      </w:tr>
      <w:tr w14:paraId="211E4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730" w:type="dxa"/>
            <w:noWrap w:val="0"/>
            <w:vAlign w:val="center"/>
          </w:tcPr>
          <w:p w14:paraId="2B1A33B5">
            <w:pPr>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2</w:t>
            </w:r>
          </w:p>
        </w:tc>
        <w:tc>
          <w:tcPr>
            <w:tcW w:w="1545" w:type="dxa"/>
            <w:noWrap w:val="0"/>
            <w:vAlign w:val="center"/>
          </w:tcPr>
          <w:p w14:paraId="1B156AEE">
            <w:pPr>
              <w:jc w:val="center"/>
              <w:rPr>
                <w:rFonts w:hint="eastAsia" w:ascii="宋体" w:hAnsi="宋体"/>
                <w:color w:val="auto"/>
                <w:sz w:val="24"/>
                <w:szCs w:val="24"/>
                <w:highlight w:val="none"/>
              </w:rPr>
            </w:pPr>
            <w:r>
              <w:rPr>
                <w:rFonts w:hint="eastAsia" w:ascii="宋体" w:hAnsi="宋体"/>
                <w:color w:val="auto"/>
                <w:sz w:val="24"/>
                <w:szCs w:val="24"/>
                <w:highlight w:val="none"/>
              </w:rPr>
              <w:t>保洁服务方案</w:t>
            </w:r>
          </w:p>
        </w:tc>
        <w:tc>
          <w:tcPr>
            <w:tcW w:w="1045" w:type="dxa"/>
            <w:noWrap w:val="0"/>
            <w:vAlign w:val="center"/>
          </w:tcPr>
          <w:p w14:paraId="2F86DBB1">
            <w:pPr>
              <w:jc w:val="center"/>
              <w:rPr>
                <w:rFonts w:hint="default" w:ascii="宋体" w:hAnsi="宋体" w:cs="宋体"/>
                <w:bCs/>
                <w:color w:val="auto"/>
                <w:position w:val="2"/>
                <w:sz w:val="24"/>
                <w:highlight w:val="none"/>
                <w:lang w:val="en-US" w:eastAsia="zh-CN"/>
              </w:rPr>
            </w:pPr>
            <w:r>
              <w:rPr>
                <w:rFonts w:hint="eastAsia" w:ascii="宋体" w:hAnsi="宋体" w:cs="宋体"/>
                <w:bCs/>
                <w:color w:val="auto"/>
                <w:position w:val="2"/>
                <w:sz w:val="24"/>
                <w:highlight w:val="none"/>
                <w:lang w:val="en-US" w:eastAsia="zh-CN"/>
              </w:rPr>
              <w:t>16分</w:t>
            </w:r>
          </w:p>
        </w:tc>
        <w:tc>
          <w:tcPr>
            <w:tcW w:w="5559" w:type="dxa"/>
            <w:noWrap w:val="0"/>
            <w:vAlign w:val="center"/>
          </w:tcPr>
          <w:p w14:paraId="6A03AD29">
            <w:pPr>
              <w:jc w:val="left"/>
              <w:rPr>
                <w:rFonts w:hint="eastAsia" w:ascii="宋体" w:hAnsi="宋体"/>
                <w:color w:val="auto"/>
                <w:sz w:val="24"/>
                <w:szCs w:val="24"/>
                <w:highlight w:val="none"/>
              </w:rPr>
            </w:pPr>
            <w:r>
              <w:rPr>
                <w:rFonts w:hint="eastAsia" w:ascii="宋体" w:hAnsi="宋体"/>
                <w:color w:val="auto"/>
                <w:sz w:val="24"/>
                <w:szCs w:val="24"/>
                <w:highlight w:val="none"/>
              </w:rPr>
              <w:t>综合比较各供应商保洁服务方案，</w:t>
            </w:r>
            <w:r>
              <w:rPr>
                <w:rFonts w:ascii="宋体" w:hAnsi="宋体" w:cs="宋体"/>
                <w:color w:val="auto"/>
                <w:sz w:val="24"/>
                <w:highlight w:val="none"/>
                <w:lang w:val="zh-CN"/>
              </w:rPr>
              <w:t>优秀得</w:t>
            </w:r>
            <w:r>
              <w:rPr>
                <w:rFonts w:hint="eastAsia" w:ascii="宋体" w:hAnsi="宋体" w:cs="宋体"/>
                <w:color w:val="auto"/>
                <w:sz w:val="24"/>
                <w:highlight w:val="none"/>
                <w:lang w:val="en-US" w:eastAsia="zh-CN"/>
              </w:rPr>
              <w:t>11-16</w:t>
            </w:r>
            <w:r>
              <w:rPr>
                <w:rFonts w:ascii="宋体" w:hAnsi="宋体" w:cs="宋体"/>
                <w:color w:val="auto"/>
                <w:sz w:val="24"/>
                <w:highlight w:val="none"/>
                <w:lang w:val="zh-CN"/>
              </w:rPr>
              <w:t>分，较好得</w:t>
            </w:r>
            <w:r>
              <w:rPr>
                <w:rFonts w:hint="eastAsia" w:ascii="宋体" w:hAnsi="宋体" w:cs="宋体"/>
                <w:color w:val="auto"/>
                <w:sz w:val="24"/>
                <w:highlight w:val="none"/>
                <w:lang w:val="en-US" w:eastAsia="zh-CN"/>
              </w:rPr>
              <w:t>6-10</w:t>
            </w:r>
            <w:r>
              <w:rPr>
                <w:rFonts w:ascii="宋体" w:hAnsi="宋体" w:cs="宋体"/>
                <w:color w:val="auto"/>
                <w:sz w:val="24"/>
                <w:highlight w:val="none"/>
                <w:lang w:val="zh-CN"/>
              </w:rPr>
              <w:t>分，一般得</w:t>
            </w:r>
            <w:r>
              <w:rPr>
                <w:rFonts w:hint="eastAsia" w:ascii="宋体" w:hAnsi="宋体" w:cs="宋体"/>
                <w:color w:val="auto"/>
                <w:sz w:val="24"/>
                <w:highlight w:val="none"/>
                <w:lang w:val="zh-CN"/>
              </w:rPr>
              <w:t>1-5</w:t>
            </w:r>
            <w:r>
              <w:rPr>
                <w:rFonts w:ascii="宋体" w:hAnsi="宋体" w:cs="宋体"/>
                <w:color w:val="auto"/>
                <w:sz w:val="24"/>
                <w:highlight w:val="none"/>
                <w:lang w:val="zh-CN"/>
              </w:rPr>
              <w:t>分，没有该项不得分。</w:t>
            </w:r>
          </w:p>
        </w:tc>
      </w:tr>
      <w:tr w14:paraId="7044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730" w:type="dxa"/>
            <w:noWrap w:val="0"/>
            <w:vAlign w:val="center"/>
          </w:tcPr>
          <w:p w14:paraId="12092929">
            <w:pPr>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w:t>
            </w:r>
          </w:p>
        </w:tc>
        <w:tc>
          <w:tcPr>
            <w:tcW w:w="1545" w:type="dxa"/>
            <w:noWrap w:val="0"/>
            <w:vAlign w:val="center"/>
          </w:tcPr>
          <w:p w14:paraId="4CB6E579">
            <w:pPr>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安保服务方案</w:t>
            </w:r>
          </w:p>
        </w:tc>
        <w:tc>
          <w:tcPr>
            <w:tcW w:w="1045" w:type="dxa"/>
            <w:noWrap w:val="0"/>
            <w:vAlign w:val="center"/>
          </w:tcPr>
          <w:p w14:paraId="5EFA0435">
            <w:pPr>
              <w:jc w:val="center"/>
              <w:rPr>
                <w:rFonts w:ascii="宋体" w:hAnsi="宋体"/>
                <w:color w:val="auto"/>
                <w:sz w:val="24"/>
                <w:szCs w:val="24"/>
                <w:highlight w:val="none"/>
              </w:rPr>
            </w:pPr>
            <w:r>
              <w:rPr>
                <w:rFonts w:hint="eastAsia" w:ascii="宋体" w:hAnsi="宋体" w:cs="宋体"/>
                <w:bCs/>
                <w:color w:val="auto"/>
                <w:position w:val="2"/>
                <w:sz w:val="24"/>
                <w:highlight w:val="none"/>
                <w:lang w:val="en-US" w:eastAsia="zh-CN"/>
              </w:rPr>
              <w:t>16分</w:t>
            </w:r>
          </w:p>
        </w:tc>
        <w:tc>
          <w:tcPr>
            <w:tcW w:w="5559" w:type="dxa"/>
            <w:noWrap w:val="0"/>
            <w:vAlign w:val="center"/>
          </w:tcPr>
          <w:p w14:paraId="4FA4E0BE">
            <w:pPr>
              <w:jc w:val="lef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综合比较各供应商</w:t>
            </w:r>
            <w:r>
              <w:rPr>
                <w:rFonts w:hint="eastAsia" w:ascii="宋体" w:hAnsi="宋体"/>
                <w:color w:val="auto"/>
                <w:sz w:val="24"/>
                <w:szCs w:val="24"/>
                <w:highlight w:val="none"/>
                <w:lang w:val="en-US" w:eastAsia="zh-CN"/>
              </w:rPr>
              <w:t>安保服务方案</w:t>
            </w:r>
            <w:r>
              <w:rPr>
                <w:rFonts w:hint="eastAsia" w:ascii="宋体" w:hAnsi="宋体"/>
                <w:color w:val="auto"/>
                <w:sz w:val="24"/>
                <w:szCs w:val="24"/>
                <w:highlight w:val="none"/>
              </w:rPr>
              <w:t>，</w:t>
            </w:r>
            <w:r>
              <w:rPr>
                <w:rFonts w:ascii="宋体" w:hAnsi="宋体" w:cs="宋体"/>
                <w:color w:val="auto"/>
                <w:sz w:val="24"/>
                <w:highlight w:val="none"/>
                <w:lang w:val="zh-CN"/>
              </w:rPr>
              <w:t>优秀得</w:t>
            </w:r>
            <w:r>
              <w:rPr>
                <w:rFonts w:hint="eastAsia" w:ascii="宋体" w:hAnsi="宋体" w:cs="宋体"/>
                <w:color w:val="auto"/>
                <w:sz w:val="24"/>
                <w:highlight w:val="none"/>
                <w:lang w:val="en-US" w:eastAsia="zh-CN"/>
              </w:rPr>
              <w:t>11-16</w:t>
            </w:r>
            <w:r>
              <w:rPr>
                <w:rFonts w:ascii="宋体" w:hAnsi="宋体" w:cs="宋体"/>
                <w:color w:val="auto"/>
                <w:sz w:val="24"/>
                <w:highlight w:val="none"/>
                <w:lang w:val="zh-CN"/>
              </w:rPr>
              <w:t>分，较好得</w:t>
            </w:r>
            <w:r>
              <w:rPr>
                <w:rFonts w:hint="eastAsia" w:ascii="宋体" w:hAnsi="宋体" w:cs="宋体"/>
                <w:color w:val="auto"/>
                <w:sz w:val="24"/>
                <w:highlight w:val="none"/>
                <w:lang w:val="en-US" w:eastAsia="zh-CN"/>
              </w:rPr>
              <w:t>6-10</w:t>
            </w:r>
            <w:r>
              <w:rPr>
                <w:rFonts w:ascii="宋体" w:hAnsi="宋体" w:cs="宋体"/>
                <w:color w:val="auto"/>
                <w:sz w:val="24"/>
                <w:highlight w:val="none"/>
                <w:lang w:val="zh-CN"/>
              </w:rPr>
              <w:t>分，一般得</w:t>
            </w:r>
            <w:r>
              <w:rPr>
                <w:rFonts w:hint="eastAsia" w:ascii="宋体" w:hAnsi="宋体" w:cs="宋体"/>
                <w:color w:val="auto"/>
                <w:sz w:val="24"/>
                <w:highlight w:val="none"/>
                <w:lang w:val="zh-CN"/>
              </w:rPr>
              <w:t>1-5</w:t>
            </w:r>
            <w:r>
              <w:rPr>
                <w:rFonts w:ascii="宋体" w:hAnsi="宋体" w:cs="宋体"/>
                <w:color w:val="auto"/>
                <w:sz w:val="24"/>
                <w:highlight w:val="none"/>
                <w:lang w:val="zh-CN"/>
              </w:rPr>
              <w:t>分，没有该项不得分。</w:t>
            </w:r>
          </w:p>
        </w:tc>
      </w:tr>
      <w:tr w14:paraId="3F71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730" w:type="dxa"/>
            <w:noWrap w:val="0"/>
            <w:vAlign w:val="center"/>
          </w:tcPr>
          <w:p w14:paraId="030D72C2">
            <w:pPr>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4</w:t>
            </w:r>
          </w:p>
        </w:tc>
        <w:tc>
          <w:tcPr>
            <w:tcW w:w="1545" w:type="dxa"/>
            <w:noWrap w:val="0"/>
            <w:vAlign w:val="center"/>
          </w:tcPr>
          <w:p w14:paraId="53DEA8C7">
            <w:pPr>
              <w:jc w:val="center"/>
              <w:rPr>
                <w:rFonts w:ascii="宋体" w:hAnsi="宋体"/>
                <w:color w:val="auto"/>
                <w:sz w:val="24"/>
                <w:szCs w:val="24"/>
                <w:highlight w:val="none"/>
                <w:lang w:val="zh-CN"/>
              </w:rPr>
            </w:pPr>
            <w:r>
              <w:rPr>
                <w:rFonts w:hint="eastAsia" w:ascii="宋体" w:hAnsi="宋体"/>
                <w:color w:val="auto"/>
                <w:sz w:val="24"/>
                <w:szCs w:val="24"/>
                <w:highlight w:val="none"/>
              </w:rPr>
              <w:t>绿化带环境卫生处理措施</w:t>
            </w:r>
          </w:p>
        </w:tc>
        <w:tc>
          <w:tcPr>
            <w:tcW w:w="1045" w:type="dxa"/>
            <w:noWrap w:val="0"/>
            <w:vAlign w:val="center"/>
          </w:tcPr>
          <w:p w14:paraId="3CF0D54D">
            <w:pPr>
              <w:jc w:val="center"/>
              <w:rPr>
                <w:rFonts w:ascii="宋体" w:hAnsi="宋体"/>
                <w:color w:val="auto"/>
                <w:sz w:val="24"/>
                <w:szCs w:val="24"/>
                <w:highlight w:val="none"/>
              </w:rPr>
            </w:pPr>
            <w:r>
              <w:rPr>
                <w:rFonts w:hint="eastAsia" w:ascii="宋体" w:hAnsi="宋体" w:cs="宋体"/>
                <w:bCs/>
                <w:color w:val="auto"/>
                <w:position w:val="2"/>
                <w:sz w:val="24"/>
                <w:highlight w:val="none"/>
                <w:lang w:val="en-US" w:eastAsia="zh-CN"/>
              </w:rPr>
              <w:t>16分</w:t>
            </w:r>
          </w:p>
        </w:tc>
        <w:tc>
          <w:tcPr>
            <w:tcW w:w="5559" w:type="dxa"/>
            <w:noWrap w:val="0"/>
            <w:vAlign w:val="center"/>
          </w:tcPr>
          <w:p w14:paraId="6606C258">
            <w:pPr>
              <w:jc w:val="left"/>
              <w:rPr>
                <w:rFonts w:ascii="宋体" w:hAnsi="宋体"/>
                <w:color w:val="auto"/>
                <w:sz w:val="24"/>
                <w:szCs w:val="24"/>
                <w:highlight w:val="none"/>
                <w:lang w:val="zh-CN"/>
              </w:rPr>
            </w:pPr>
            <w:r>
              <w:rPr>
                <w:rFonts w:hint="eastAsia" w:ascii="宋体" w:hAnsi="宋体"/>
                <w:color w:val="auto"/>
                <w:sz w:val="24"/>
                <w:szCs w:val="24"/>
                <w:highlight w:val="none"/>
              </w:rPr>
              <w:t>根据供应商针对</w:t>
            </w:r>
            <w:r>
              <w:rPr>
                <w:rFonts w:hint="eastAsia" w:ascii="宋体" w:hAnsi="宋体"/>
                <w:color w:val="auto"/>
                <w:sz w:val="24"/>
                <w:szCs w:val="24"/>
                <w:highlight w:val="none"/>
                <w:lang w:val="en-US" w:eastAsia="zh-CN"/>
              </w:rPr>
              <w:t>园内</w:t>
            </w:r>
            <w:r>
              <w:rPr>
                <w:rFonts w:hint="eastAsia" w:ascii="宋体" w:hAnsi="宋体"/>
                <w:color w:val="auto"/>
                <w:sz w:val="24"/>
                <w:szCs w:val="24"/>
                <w:highlight w:val="none"/>
              </w:rPr>
              <w:t>绿化带做出的环境卫生处理措施方案，</w:t>
            </w:r>
            <w:r>
              <w:rPr>
                <w:rFonts w:ascii="宋体" w:hAnsi="宋体" w:cs="宋体"/>
                <w:color w:val="auto"/>
                <w:sz w:val="24"/>
                <w:highlight w:val="none"/>
                <w:lang w:val="zh-CN"/>
              </w:rPr>
              <w:t>优秀得</w:t>
            </w:r>
            <w:r>
              <w:rPr>
                <w:rFonts w:hint="eastAsia" w:ascii="宋体" w:hAnsi="宋体" w:cs="宋体"/>
                <w:color w:val="auto"/>
                <w:sz w:val="24"/>
                <w:highlight w:val="none"/>
                <w:lang w:val="en-US" w:eastAsia="zh-CN"/>
              </w:rPr>
              <w:t>11-16</w:t>
            </w:r>
            <w:r>
              <w:rPr>
                <w:rFonts w:ascii="宋体" w:hAnsi="宋体" w:cs="宋体"/>
                <w:color w:val="auto"/>
                <w:sz w:val="24"/>
                <w:highlight w:val="none"/>
                <w:lang w:val="zh-CN"/>
              </w:rPr>
              <w:t>分，较好得</w:t>
            </w:r>
            <w:r>
              <w:rPr>
                <w:rFonts w:hint="eastAsia" w:ascii="宋体" w:hAnsi="宋体" w:cs="宋体"/>
                <w:color w:val="auto"/>
                <w:sz w:val="24"/>
                <w:highlight w:val="none"/>
                <w:lang w:val="en-US" w:eastAsia="zh-CN"/>
              </w:rPr>
              <w:t>6-10</w:t>
            </w:r>
            <w:r>
              <w:rPr>
                <w:rFonts w:ascii="宋体" w:hAnsi="宋体" w:cs="宋体"/>
                <w:color w:val="auto"/>
                <w:sz w:val="24"/>
                <w:highlight w:val="none"/>
                <w:lang w:val="zh-CN"/>
              </w:rPr>
              <w:t>分，一般得</w:t>
            </w:r>
            <w:r>
              <w:rPr>
                <w:rFonts w:hint="eastAsia" w:ascii="宋体" w:hAnsi="宋体" w:cs="宋体"/>
                <w:color w:val="auto"/>
                <w:sz w:val="24"/>
                <w:highlight w:val="none"/>
                <w:lang w:val="zh-CN"/>
              </w:rPr>
              <w:t>1-5</w:t>
            </w:r>
            <w:r>
              <w:rPr>
                <w:rFonts w:ascii="宋体" w:hAnsi="宋体" w:cs="宋体"/>
                <w:color w:val="auto"/>
                <w:sz w:val="24"/>
                <w:highlight w:val="none"/>
                <w:lang w:val="zh-CN"/>
              </w:rPr>
              <w:t>分，没有该项不得分。</w:t>
            </w:r>
          </w:p>
        </w:tc>
      </w:tr>
      <w:tr w14:paraId="22BC0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730" w:type="dxa"/>
            <w:noWrap w:val="0"/>
            <w:vAlign w:val="center"/>
          </w:tcPr>
          <w:p w14:paraId="6EB3F388">
            <w:pPr>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5</w:t>
            </w:r>
          </w:p>
        </w:tc>
        <w:tc>
          <w:tcPr>
            <w:tcW w:w="1545" w:type="dxa"/>
            <w:noWrap w:val="0"/>
            <w:vAlign w:val="center"/>
          </w:tcPr>
          <w:p w14:paraId="263D0BAF">
            <w:pPr>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秩序维护管理方案</w:t>
            </w:r>
          </w:p>
        </w:tc>
        <w:tc>
          <w:tcPr>
            <w:tcW w:w="1045" w:type="dxa"/>
            <w:noWrap w:val="0"/>
            <w:vAlign w:val="center"/>
          </w:tcPr>
          <w:p w14:paraId="50324ECC">
            <w:pPr>
              <w:jc w:val="center"/>
              <w:rPr>
                <w:rFonts w:hint="default" w:ascii="宋体" w:hAnsi="宋体"/>
                <w:color w:val="auto"/>
                <w:sz w:val="24"/>
                <w:szCs w:val="24"/>
                <w:highlight w:val="none"/>
                <w:lang w:val="en-US" w:eastAsia="zh-CN"/>
              </w:rPr>
            </w:pPr>
            <w:r>
              <w:rPr>
                <w:rFonts w:hint="eastAsia" w:ascii="宋体" w:hAnsi="宋体" w:cs="宋体"/>
                <w:bCs/>
                <w:color w:val="auto"/>
                <w:position w:val="2"/>
                <w:sz w:val="24"/>
                <w:highlight w:val="none"/>
                <w:lang w:val="en-US" w:eastAsia="zh-CN"/>
              </w:rPr>
              <w:t>16分</w:t>
            </w:r>
          </w:p>
        </w:tc>
        <w:tc>
          <w:tcPr>
            <w:tcW w:w="5559" w:type="dxa"/>
            <w:noWrap w:val="0"/>
            <w:vAlign w:val="center"/>
          </w:tcPr>
          <w:p w14:paraId="24E8F87D">
            <w:pPr>
              <w:jc w:val="lef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根据供应商在项目实施过程中关于冬季、雨季的养护措施等情况，</w:t>
            </w:r>
            <w:r>
              <w:rPr>
                <w:rFonts w:ascii="宋体" w:hAnsi="宋体" w:cs="宋体"/>
                <w:color w:val="auto"/>
                <w:sz w:val="24"/>
                <w:highlight w:val="none"/>
                <w:lang w:val="zh-CN"/>
              </w:rPr>
              <w:t>优秀得</w:t>
            </w:r>
            <w:r>
              <w:rPr>
                <w:rFonts w:hint="eastAsia" w:ascii="宋体" w:hAnsi="宋体" w:cs="宋体"/>
                <w:color w:val="auto"/>
                <w:sz w:val="24"/>
                <w:highlight w:val="none"/>
                <w:lang w:val="en-US" w:eastAsia="zh-CN"/>
              </w:rPr>
              <w:t>11-16</w:t>
            </w:r>
            <w:r>
              <w:rPr>
                <w:rFonts w:ascii="宋体" w:hAnsi="宋体" w:cs="宋体"/>
                <w:color w:val="auto"/>
                <w:sz w:val="24"/>
                <w:highlight w:val="none"/>
                <w:lang w:val="zh-CN"/>
              </w:rPr>
              <w:t>分，较好得</w:t>
            </w:r>
            <w:r>
              <w:rPr>
                <w:rFonts w:hint="eastAsia" w:ascii="宋体" w:hAnsi="宋体" w:cs="宋体"/>
                <w:color w:val="auto"/>
                <w:sz w:val="24"/>
                <w:highlight w:val="none"/>
                <w:lang w:val="en-US" w:eastAsia="zh-CN"/>
              </w:rPr>
              <w:t>6-10</w:t>
            </w:r>
            <w:r>
              <w:rPr>
                <w:rFonts w:ascii="宋体" w:hAnsi="宋体" w:cs="宋体"/>
                <w:color w:val="auto"/>
                <w:sz w:val="24"/>
                <w:highlight w:val="none"/>
                <w:lang w:val="zh-CN"/>
              </w:rPr>
              <w:t>分，一般得</w:t>
            </w:r>
            <w:r>
              <w:rPr>
                <w:rFonts w:hint="eastAsia" w:ascii="宋体" w:hAnsi="宋体" w:cs="宋体"/>
                <w:color w:val="auto"/>
                <w:sz w:val="24"/>
                <w:highlight w:val="none"/>
                <w:lang w:val="zh-CN"/>
              </w:rPr>
              <w:t>1-5</w:t>
            </w:r>
            <w:r>
              <w:rPr>
                <w:rFonts w:ascii="宋体" w:hAnsi="宋体" w:cs="宋体"/>
                <w:color w:val="auto"/>
                <w:sz w:val="24"/>
                <w:highlight w:val="none"/>
                <w:lang w:val="zh-CN"/>
              </w:rPr>
              <w:t>分，没有该项不得分。</w:t>
            </w:r>
          </w:p>
        </w:tc>
      </w:tr>
      <w:tr w14:paraId="46ED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730" w:type="dxa"/>
            <w:noWrap w:val="0"/>
            <w:vAlign w:val="center"/>
          </w:tcPr>
          <w:p w14:paraId="0C0C5595">
            <w:pPr>
              <w:jc w:val="center"/>
              <w:rPr>
                <w:rFonts w:hint="default"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三</w:t>
            </w:r>
          </w:p>
        </w:tc>
        <w:tc>
          <w:tcPr>
            <w:tcW w:w="1545" w:type="dxa"/>
            <w:noWrap w:val="0"/>
            <w:vAlign w:val="center"/>
          </w:tcPr>
          <w:p w14:paraId="5089584E">
            <w:pPr>
              <w:jc w:val="center"/>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lang w:val="en-US" w:eastAsia="zh-CN"/>
              </w:rPr>
              <w:t>商务部分（</w:t>
            </w:r>
            <w:r>
              <w:rPr>
                <w:rFonts w:hint="eastAsia" w:ascii="宋体" w:hAnsi="宋体"/>
                <w:b w:val="0"/>
                <w:bCs w:val="0"/>
                <w:color w:val="auto"/>
                <w:sz w:val="24"/>
                <w:szCs w:val="24"/>
                <w:highlight w:val="none"/>
              </w:rPr>
              <w:t>企业业绩</w:t>
            </w:r>
            <w:r>
              <w:rPr>
                <w:rFonts w:hint="eastAsia" w:ascii="宋体" w:hAnsi="宋体"/>
                <w:b w:val="0"/>
                <w:bCs w:val="0"/>
                <w:color w:val="auto"/>
                <w:sz w:val="24"/>
                <w:szCs w:val="24"/>
                <w:highlight w:val="none"/>
                <w:lang w:val="en-US" w:eastAsia="zh-CN"/>
              </w:rPr>
              <w:t>）</w:t>
            </w:r>
          </w:p>
        </w:tc>
        <w:tc>
          <w:tcPr>
            <w:tcW w:w="1045" w:type="dxa"/>
            <w:noWrap w:val="0"/>
            <w:vAlign w:val="center"/>
          </w:tcPr>
          <w:p w14:paraId="3DA417BB">
            <w:pPr>
              <w:jc w:val="center"/>
              <w:rPr>
                <w:rFonts w:hint="default" w:ascii="宋体" w:hAnsi="宋体" w:cs="宋体"/>
                <w:b w:val="0"/>
                <w:bCs w:val="0"/>
                <w:color w:val="auto"/>
                <w:position w:val="2"/>
                <w:sz w:val="24"/>
                <w:highlight w:val="none"/>
                <w:lang w:val="en-US" w:eastAsia="zh-CN"/>
              </w:rPr>
            </w:pPr>
            <w:r>
              <w:rPr>
                <w:rFonts w:hint="eastAsia" w:ascii="宋体" w:hAnsi="宋体" w:cs="宋体"/>
                <w:b w:val="0"/>
                <w:bCs w:val="0"/>
                <w:color w:val="auto"/>
                <w:position w:val="2"/>
                <w:sz w:val="24"/>
                <w:highlight w:val="none"/>
                <w:lang w:val="en-US" w:eastAsia="zh-CN"/>
              </w:rPr>
              <w:t>10分</w:t>
            </w:r>
          </w:p>
        </w:tc>
        <w:tc>
          <w:tcPr>
            <w:tcW w:w="5559" w:type="dxa"/>
            <w:noWrap w:val="0"/>
            <w:vAlign w:val="center"/>
          </w:tcPr>
          <w:p w14:paraId="46D72539">
            <w:pPr>
              <w:jc w:val="left"/>
              <w:rPr>
                <w:rFonts w:hint="eastAsia" w:ascii="宋体" w:hAnsi="宋体"/>
                <w:b w:val="0"/>
                <w:bCs w:val="0"/>
                <w:color w:val="auto"/>
                <w:sz w:val="24"/>
                <w:szCs w:val="24"/>
                <w:highlight w:val="none"/>
              </w:rPr>
            </w:pPr>
            <w:r>
              <w:rPr>
                <w:rFonts w:hint="eastAsia" w:ascii="宋体" w:hAnsi="宋体" w:cs="宋体"/>
                <w:b w:val="0"/>
                <w:bCs w:val="0"/>
                <w:color w:val="auto"/>
                <w:kern w:val="0"/>
                <w:sz w:val="24"/>
                <w:szCs w:val="24"/>
                <w:highlight w:val="none"/>
              </w:rPr>
              <w:t>供应商自202</w:t>
            </w:r>
            <w:r>
              <w:rPr>
                <w:rFonts w:hint="eastAsia" w:ascii="宋体" w:hAnsi="宋体" w:cs="宋体"/>
                <w:b w:val="0"/>
                <w:bCs w:val="0"/>
                <w:color w:val="auto"/>
                <w:kern w:val="0"/>
                <w:sz w:val="24"/>
                <w:szCs w:val="24"/>
                <w:highlight w:val="none"/>
                <w:lang w:val="en-US" w:eastAsia="zh-CN"/>
              </w:rPr>
              <w:t>2</w:t>
            </w:r>
            <w:r>
              <w:rPr>
                <w:rFonts w:hint="eastAsia" w:ascii="宋体" w:hAnsi="宋体" w:cs="宋体"/>
                <w:b w:val="0"/>
                <w:bCs w:val="0"/>
                <w:color w:val="auto"/>
                <w:kern w:val="0"/>
                <w:sz w:val="24"/>
                <w:szCs w:val="24"/>
                <w:highlight w:val="none"/>
              </w:rPr>
              <w:t>年1月1日（以合同签订日期为准）以来，承担过类似项目业绩的，每有一个得</w:t>
            </w:r>
            <w:r>
              <w:rPr>
                <w:rFonts w:hint="eastAsia" w:ascii="宋体" w:hAnsi="宋体" w:cs="宋体"/>
                <w:b w:val="0"/>
                <w:bCs w:val="0"/>
                <w:color w:val="auto"/>
                <w:kern w:val="0"/>
                <w:sz w:val="24"/>
                <w:szCs w:val="24"/>
                <w:highlight w:val="none"/>
                <w:lang w:val="en-US" w:eastAsia="zh-CN"/>
              </w:rPr>
              <w:t>5</w:t>
            </w:r>
            <w:r>
              <w:rPr>
                <w:rFonts w:hint="eastAsia" w:ascii="宋体" w:hAnsi="宋体" w:cs="宋体"/>
                <w:b w:val="0"/>
                <w:bCs w:val="0"/>
                <w:color w:val="auto"/>
                <w:kern w:val="0"/>
                <w:sz w:val="24"/>
                <w:szCs w:val="24"/>
                <w:highlight w:val="none"/>
              </w:rPr>
              <w:t>分，最多得</w:t>
            </w:r>
            <w:r>
              <w:rPr>
                <w:rFonts w:hint="eastAsia" w:ascii="宋体" w:hAnsi="宋体" w:cs="宋体"/>
                <w:b w:val="0"/>
                <w:bCs w:val="0"/>
                <w:color w:val="auto"/>
                <w:kern w:val="0"/>
                <w:sz w:val="24"/>
                <w:szCs w:val="24"/>
                <w:highlight w:val="none"/>
                <w:lang w:val="en-US" w:eastAsia="zh-CN"/>
              </w:rPr>
              <w:t>10</w:t>
            </w:r>
            <w:r>
              <w:rPr>
                <w:rFonts w:hint="eastAsia" w:ascii="宋体" w:hAnsi="宋体" w:cs="宋体"/>
                <w:b w:val="0"/>
                <w:bCs w:val="0"/>
                <w:color w:val="auto"/>
                <w:kern w:val="0"/>
                <w:sz w:val="24"/>
                <w:szCs w:val="24"/>
                <w:highlight w:val="none"/>
              </w:rPr>
              <w:t>分。</w:t>
            </w:r>
            <w:r>
              <w:rPr>
                <w:rFonts w:hint="eastAsia" w:ascii="宋体" w:hAnsi="宋体" w:cs="宋体"/>
                <w:b w:val="0"/>
                <w:bCs w:val="0"/>
                <w:color w:val="auto"/>
                <w:kern w:val="0"/>
                <w:sz w:val="24"/>
                <w:szCs w:val="24"/>
                <w:highlight w:val="none"/>
              </w:rPr>
              <w:br w:type="textWrapping"/>
            </w:r>
            <w:r>
              <w:rPr>
                <w:rFonts w:hint="eastAsia" w:ascii="宋体" w:hAnsi="宋体" w:cs="宋体"/>
                <w:b w:val="0"/>
                <w:bCs w:val="0"/>
                <w:color w:val="auto"/>
                <w:kern w:val="0"/>
                <w:sz w:val="24"/>
                <w:szCs w:val="24"/>
                <w:highlight w:val="none"/>
              </w:rPr>
              <w:t>注：提供合同原件扫描件，时间以合同签订时间为准。</w:t>
            </w:r>
          </w:p>
        </w:tc>
      </w:tr>
    </w:tbl>
    <w:p w14:paraId="179C39DD">
      <w:pPr>
        <w:pStyle w:val="23"/>
        <w:spacing w:line="560" w:lineRule="exact"/>
        <w:ind w:left="-105" w:leftChars="-50" w:firstLine="482" w:firstLineChars="200"/>
        <w:rPr>
          <w:rFonts w:ascii="宋体" w:hAnsi="宋体" w:cs="宋体"/>
          <w:b/>
          <w:bCs/>
          <w:color w:val="auto"/>
          <w:kern w:val="2"/>
          <w:sz w:val="24"/>
          <w:szCs w:val="24"/>
          <w:highlight w:val="none"/>
        </w:rPr>
      </w:pPr>
      <w:r>
        <w:rPr>
          <w:rFonts w:ascii="宋体" w:hAnsi="宋体" w:cs="宋体"/>
          <w:b/>
          <w:bCs/>
          <w:color w:val="auto"/>
          <w:kern w:val="2"/>
          <w:sz w:val="24"/>
          <w:szCs w:val="24"/>
          <w:highlight w:val="none"/>
        </w:rPr>
        <w:t>1、报价得分如出现小数点，则保留小数点后两位；</w:t>
      </w:r>
    </w:p>
    <w:p w14:paraId="5EC62320">
      <w:pPr>
        <w:pStyle w:val="23"/>
        <w:spacing w:line="560" w:lineRule="exact"/>
        <w:ind w:left="-105" w:leftChars="-50" w:firstLine="482" w:firstLineChars="200"/>
        <w:rPr>
          <w:rFonts w:ascii="宋体" w:hAnsi="宋体" w:cs="宋体"/>
          <w:b/>
          <w:bCs/>
          <w:color w:val="auto"/>
          <w:kern w:val="2"/>
          <w:sz w:val="24"/>
          <w:szCs w:val="24"/>
          <w:highlight w:val="none"/>
        </w:rPr>
      </w:pPr>
      <w:r>
        <w:rPr>
          <w:rFonts w:ascii="宋体" w:hAnsi="宋体" w:cs="宋体"/>
          <w:b/>
          <w:bCs/>
          <w:color w:val="auto"/>
          <w:kern w:val="2"/>
          <w:sz w:val="24"/>
          <w:szCs w:val="24"/>
          <w:highlight w:val="none"/>
        </w:rPr>
        <w:t>2、总得分相同者，总报价低的名次在前；</w:t>
      </w:r>
    </w:p>
    <w:p w14:paraId="7041912F">
      <w:pPr>
        <w:pStyle w:val="23"/>
        <w:spacing w:line="560" w:lineRule="exact"/>
        <w:ind w:left="-105" w:leftChars="-50" w:firstLine="482" w:firstLineChars="200"/>
        <w:rPr>
          <w:rFonts w:ascii="宋体" w:hAnsi="宋体" w:cs="宋体"/>
          <w:b/>
          <w:bCs/>
          <w:color w:val="auto"/>
          <w:kern w:val="2"/>
          <w:sz w:val="24"/>
          <w:szCs w:val="24"/>
          <w:highlight w:val="none"/>
        </w:rPr>
      </w:pPr>
      <w:r>
        <w:rPr>
          <w:rFonts w:ascii="宋体" w:hAnsi="宋体" w:cs="宋体"/>
          <w:b/>
          <w:bCs/>
          <w:color w:val="auto"/>
          <w:kern w:val="2"/>
          <w:sz w:val="24"/>
          <w:szCs w:val="24"/>
          <w:highlight w:val="none"/>
        </w:rPr>
        <w:t>3、在任何评标环节中，需磋商委员会就某项定性的评审结论做出表决的，由磋商委员会全体成员按照少数服从多数的原则，以记名投票方式表决。</w:t>
      </w:r>
    </w:p>
    <w:p w14:paraId="5939F0F9">
      <w:pPr>
        <w:widowControl/>
        <w:spacing w:line="480" w:lineRule="auto"/>
        <w:ind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供应商所提供的材料或填写的内容必须真实、可靠，如有虚假或隐瞒，一经查实将导致投标被拒绝，并按照《中华人民共和国政府采购法》第七十七条第一款“提供虚假材料谋取成交的”进行处罚，给采购人造成损失的应承担赔偿责任。</w:t>
      </w:r>
    </w:p>
    <w:p w14:paraId="55EECA54">
      <w:pPr>
        <w:spacing w:line="480" w:lineRule="auto"/>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四、成交通知书</w:t>
      </w:r>
    </w:p>
    <w:p w14:paraId="47A40EF9">
      <w:pPr>
        <w:spacing w:line="480" w:lineRule="auto"/>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成交结果公示结束后，采购人向成交供应商签发《成交通知书》。</w:t>
      </w:r>
    </w:p>
    <w:p w14:paraId="36DF9A07">
      <w:pPr>
        <w:spacing w:line="480" w:lineRule="auto"/>
        <w:ind w:firstLine="482" w:firstLineChars="200"/>
        <w:rPr>
          <w:rFonts w:hint="eastAsia" w:ascii="宋体" w:hAnsi="宋体" w:eastAsia="宋体" w:cs="宋体"/>
          <w:b/>
          <w:bCs/>
          <w:color w:val="auto"/>
          <w:kern w:val="2"/>
          <w:sz w:val="24"/>
          <w:szCs w:val="24"/>
          <w:highlight w:val="none"/>
          <w:lang w:val="en-US" w:eastAsia="zh-CN" w:bidi="ar-SA"/>
        </w:rPr>
      </w:pPr>
    </w:p>
    <w:p w14:paraId="28971AF1">
      <w:pPr>
        <w:spacing w:line="480" w:lineRule="auto"/>
        <w:ind w:firstLine="482" w:firstLineChars="200"/>
        <w:rPr>
          <w:rFonts w:hint="eastAsia" w:ascii="宋体" w:hAnsi="宋体" w:eastAsia="宋体" w:cs="宋体"/>
          <w:b/>
          <w:bCs/>
          <w:color w:val="auto"/>
          <w:kern w:val="2"/>
          <w:sz w:val="24"/>
          <w:szCs w:val="24"/>
          <w:highlight w:val="none"/>
          <w:lang w:val="en-US" w:eastAsia="zh-CN" w:bidi="ar-SA"/>
        </w:rPr>
      </w:pPr>
    </w:p>
    <w:p w14:paraId="7E6644C2">
      <w:pPr>
        <w:spacing w:line="480" w:lineRule="auto"/>
        <w:ind w:firstLine="482" w:firstLineChars="200"/>
        <w:rPr>
          <w:rFonts w:hint="eastAsia" w:ascii="宋体" w:hAnsi="宋体" w:eastAsia="宋体" w:cs="宋体"/>
          <w:b/>
          <w:bCs/>
          <w:color w:val="auto"/>
          <w:kern w:val="2"/>
          <w:sz w:val="24"/>
          <w:szCs w:val="24"/>
          <w:highlight w:val="none"/>
          <w:lang w:val="en-US" w:eastAsia="zh-CN" w:bidi="ar-SA"/>
        </w:rPr>
      </w:pPr>
    </w:p>
    <w:p w14:paraId="50827611">
      <w:pPr>
        <w:spacing w:line="480" w:lineRule="auto"/>
        <w:ind w:firstLine="482" w:firstLineChars="200"/>
        <w:rPr>
          <w:rFonts w:hint="eastAsia" w:ascii="宋体" w:hAnsi="宋体" w:eastAsia="宋体" w:cs="宋体"/>
          <w:b/>
          <w:bCs/>
          <w:color w:val="auto"/>
          <w:kern w:val="2"/>
          <w:sz w:val="24"/>
          <w:szCs w:val="24"/>
          <w:highlight w:val="none"/>
          <w:lang w:val="en-US" w:eastAsia="zh-CN" w:bidi="ar-SA"/>
        </w:rPr>
      </w:pPr>
    </w:p>
    <w:p w14:paraId="462F818C">
      <w:pPr>
        <w:spacing w:line="480" w:lineRule="auto"/>
        <w:ind w:firstLine="482" w:firstLineChars="200"/>
        <w:rPr>
          <w:rFonts w:hint="eastAsia" w:ascii="宋体" w:hAnsi="宋体" w:eastAsia="宋体" w:cs="宋体"/>
          <w:b/>
          <w:bCs/>
          <w:color w:val="auto"/>
          <w:kern w:val="2"/>
          <w:sz w:val="24"/>
          <w:szCs w:val="24"/>
          <w:highlight w:val="none"/>
          <w:lang w:val="en-US" w:eastAsia="zh-CN" w:bidi="ar-SA"/>
        </w:rPr>
      </w:pPr>
    </w:p>
    <w:p w14:paraId="5C336C8E">
      <w:pPr>
        <w:spacing w:line="480" w:lineRule="auto"/>
        <w:ind w:firstLine="482" w:firstLineChars="200"/>
        <w:rPr>
          <w:rFonts w:hint="eastAsia" w:ascii="宋体" w:hAnsi="宋体" w:eastAsia="宋体" w:cs="宋体"/>
          <w:b/>
          <w:bCs/>
          <w:color w:val="auto"/>
          <w:kern w:val="2"/>
          <w:sz w:val="24"/>
          <w:szCs w:val="24"/>
          <w:highlight w:val="none"/>
          <w:lang w:val="en-US" w:eastAsia="zh-CN" w:bidi="ar-SA"/>
        </w:rPr>
      </w:pPr>
    </w:p>
    <w:p w14:paraId="7829A21D">
      <w:pPr>
        <w:spacing w:line="480" w:lineRule="auto"/>
        <w:ind w:firstLine="482" w:firstLineChars="200"/>
        <w:rPr>
          <w:rFonts w:hint="eastAsia" w:ascii="宋体" w:hAnsi="宋体" w:eastAsia="宋体" w:cs="宋体"/>
          <w:b/>
          <w:bCs/>
          <w:color w:val="auto"/>
          <w:kern w:val="2"/>
          <w:sz w:val="24"/>
          <w:szCs w:val="24"/>
          <w:highlight w:val="none"/>
          <w:lang w:val="en-US" w:eastAsia="zh-CN" w:bidi="ar-SA"/>
        </w:rPr>
      </w:pPr>
    </w:p>
    <w:p w14:paraId="70D95F20">
      <w:pPr>
        <w:spacing w:line="480" w:lineRule="auto"/>
        <w:ind w:firstLine="482" w:firstLineChars="200"/>
        <w:rPr>
          <w:rFonts w:hint="eastAsia" w:ascii="宋体" w:hAnsi="宋体" w:eastAsia="宋体" w:cs="宋体"/>
          <w:b/>
          <w:bCs/>
          <w:color w:val="auto"/>
          <w:kern w:val="2"/>
          <w:sz w:val="24"/>
          <w:szCs w:val="24"/>
          <w:highlight w:val="none"/>
          <w:lang w:val="en-US" w:eastAsia="zh-CN" w:bidi="ar-SA"/>
        </w:rPr>
      </w:pPr>
    </w:p>
    <w:p w14:paraId="447BE6BF">
      <w:pPr>
        <w:spacing w:line="480" w:lineRule="auto"/>
        <w:ind w:firstLine="482" w:firstLineChars="200"/>
        <w:rPr>
          <w:rFonts w:hint="eastAsia" w:ascii="宋体" w:hAnsi="宋体" w:eastAsia="宋体" w:cs="宋体"/>
          <w:b/>
          <w:bCs/>
          <w:color w:val="auto"/>
          <w:kern w:val="2"/>
          <w:sz w:val="24"/>
          <w:szCs w:val="24"/>
          <w:highlight w:val="none"/>
          <w:lang w:val="en-US" w:eastAsia="zh-CN" w:bidi="ar-SA"/>
        </w:rPr>
      </w:pPr>
    </w:p>
    <w:p w14:paraId="6D6D095E">
      <w:pPr>
        <w:spacing w:line="480" w:lineRule="auto"/>
        <w:ind w:firstLine="482" w:firstLineChars="200"/>
        <w:rPr>
          <w:rFonts w:hint="eastAsia" w:ascii="宋体" w:hAnsi="宋体" w:eastAsia="宋体" w:cs="宋体"/>
          <w:b/>
          <w:bCs/>
          <w:color w:val="auto"/>
          <w:kern w:val="2"/>
          <w:sz w:val="24"/>
          <w:szCs w:val="24"/>
          <w:highlight w:val="none"/>
          <w:lang w:val="en-US" w:eastAsia="zh-CN" w:bidi="ar-SA"/>
        </w:rPr>
      </w:pPr>
    </w:p>
    <w:p w14:paraId="5FE14CF8">
      <w:pPr>
        <w:spacing w:line="480" w:lineRule="auto"/>
        <w:ind w:firstLine="482" w:firstLineChars="200"/>
        <w:rPr>
          <w:rFonts w:hint="eastAsia" w:ascii="宋体" w:hAnsi="宋体" w:eastAsia="宋体" w:cs="宋体"/>
          <w:b/>
          <w:bCs/>
          <w:color w:val="auto"/>
          <w:kern w:val="2"/>
          <w:sz w:val="24"/>
          <w:szCs w:val="24"/>
          <w:highlight w:val="none"/>
          <w:lang w:val="en-US" w:eastAsia="zh-CN" w:bidi="ar-SA"/>
        </w:rPr>
      </w:pPr>
    </w:p>
    <w:p w14:paraId="05C9C244">
      <w:pPr>
        <w:spacing w:line="480" w:lineRule="auto"/>
        <w:ind w:firstLine="482" w:firstLineChars="200"/>
        <w:rPr>
          <w:rFonts w:hint="eastAsia" w:ascii="宋体" w:hAnsi="宋体" w:eastAsia="宋体" w:cs="宋体"/>
          <w:b/>
          <w:bCs/>
          <w:color w:val="auto"/>
          <w:kern w:val="2"/>
          <w:sz w:val="24"/>
          <w:szCs w:val="24"/>
          <w:highlight w:val="none"/>
          <w:lang w:val="en-US" w:eastAsia="zh-CN" w:bidi="ar-SA"/>
        </w:rPr>
      </w:pPr>
    </w:p>
    <w:p w14:paraId="7FA48658">
      <w:pPr>
        <w:spacing w:line="480" w:lineRule="auto"/>
        <w:ind w:firstLine="482" w:firstLineChars="200"/>
        <w:rPr>
          <w:rFonts w:hint="eastAsia" w:ascii="宋体" w:hAnsi="宋体" w:eastAsia="宋体" w:cs="宋体"/>
          <w:b/>
          <w:bCs/>
          <w:color w:val="auto"/>
          <w:kern w:val="2"/>
          <w:sz w:val="24"/>
          <w:szCs w:val="24"/>
          <w:highlight w:val="none"/>
          <w:lang w:val="en-US" w:eastAsia="zh-CN" w:bidi="ar-SA"/>
        </w:rPr>
      </w:pPr>
    </w:p>
    <w:p w14:paraId="71C443B9">
      <w:pPr>
        <w:spacing w:line="360" w:lineRule="auto"/>
        <w:ind w:firstLine="643" w:firstLineChars="200"/>
        <w:jc w:val="center"/>
        <w:outlineLvl w:val="0"/>
        <w:rPr>
          <w:rFonts w:ascii="宋体" w:hAnsi="宋体" w:cs="宋体"/>
          <w:b/>
          <w:color w:val="auto"/>
          <w:sz w:val="24"/>
          <w:highlight w:val="none"/>
        </w:rPr>
      </w:pPr>
      <w:r>
        <w:rPr>
          <w:rFonts w:ascii="宋体" w:hAnsi="宋体" w:cs="宋体"/>
          <w:b/>
          <w:color w:val="auto"/>
          <w:sz w:val="32"/>
          <w:szCs w:val="32"/>
          <w:highlight w:val="none"/>
        </w:rPr>
        <w:t>第四部分 采购内容及要求</w:t>
      </w:r>
    </w:p>
    <w:p w14:paraId="607BBE62">
      <w:pPr>
        <w:spacing w:line="560" w:lineRule="exact"/>
        <w:ind w:firstLine="482" w:firstLineChars="200"/>
        <w:rPr>
          <w:rFonts w:hint="eastAsia" w:ascii="宋体" w:hAnsi="宋体" w:eastAsia="宋体" w:cs="宋体"/>
          <w:b/>
          <w:color w:val="auto"/>
          <w:sz w:val="24"/>
          <w:highlight w:val="none"/>
          <w:lang w:eastAsia="zh-CN"/>
        </w:rPr>
      </w:pPr>
      <w:r>
        <w:rPr>
          <w:rFonts w:ascii="宋体" w:hAnsi="宋体" w:eastAsia="宋体" w:cs="宋体"/>
          <w:b/>
          <w:color w:val="auto"/>
          <w:sz w:val="24"/>
          <w:highlight w:val="none"/>
        </w:rPr>
        <w:t>一、服务</w:t>
      </w:r>
      <w:r>
        <w:rPr>
          <w:rFonts w:hint="eastAsia" w:ascii="宋体" w:hAnsi="宋体" w:eastAsia="宋体" w:cs="宋体"/>
          <w:b/>
          <w:color w:val="auto"/>
          <w:sz w:val="24"/>
          <w:highlight w:val="none"/>
          <w:lang w:eastAsia="zh-CN"/>
        </w:rPr>
        <w:t>内容及</w:t>
      </w:r>
      <w:r>
        <w:rPr>
          <w:rFonts w:ascii="宋体" w:hAnsi="宋体" w:eastAsia="宋体" w:cs="宋体"/>
          <w:b/>
          <w:color w:val="auto"/>
          <w:sz w:val="24"/>
          <w:highlight w:val="none"/>
        </w:rPr>
        <w:t>要求</w:t>
      </w:r>
      <w:r>
        <w:rPr>
          <w:rFonts w:hint="eastAsia" w:ascii="宋体" w:hAnsi="宋体" w:eastAsia="宋体" w:cs="宋体"/>
          <w:b/>
          <w:color w:val="auto"/>
          <w:sz w:val="24"/>
          <w:highlight w:val="none"/>
          <w:lang w:eastAsia="zh-CN"/>
        </w:rPr>
        <w:t>：</w:t>
      </w:r>
    </w:p>
    <w:p w14:paraId="2682919C">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本项目为</w:t>
      </w:r>
      <w:r>
        <w:rPr>
          <w:rFonts w:hint="eastAsia" w:ascii="宋体" w:hAnsi="宋体" w:cs="宋体"/>
          <w:color w:val="auto"/>
          <w:sz w:val="24"/>
          <w:highlight w:val="none"/>
          <w:lang w:eastAsia="zh-CN"/>
        </w:rPr>
        <w:t>邹城市钢山街道邹鲁苑公园绿化养护管理服务项目</w:t>
      </w:r>
      <w:r>
        <w:rPr>
          <w:rFonts w:hint="eastAsia" w:ascii="宋体" w:hAnsi="宋体" w:cs="宋体"/>
          <w:color w:val="auto"/>
          <w:kern w:val="0"/>
          <w:sz w:val="24"/>
          <w:szCs w:val="24"/>
          <w:highlight w:val="none"/>
          <w:lang w:eastAsia="zh-CN"/>
        </w:rPr>
        <w:t>。</w:t>
      </w:r>
    </w:p>
    <w:p w14:paraId="3AB22ABA">
      <w:pPr>
        <w:spacing w:line="560" w:lineRule="exact"/>
        <w:ind w:firstLine="482" w:firstLineChars="200"/>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1、服务范围：采购人指定范围。</w:t>
      </w:r>
    </w:p>
    <w:p w14:paraId="2D4A60D5">
      <w:pPr>
        <w:spacing w:line="560" w:lineRule="exact"/>
        <w:ind w:firstLine="482"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color w:val="auto"/>
          <w:sz w:val="24"/>
          <w:highlight w:val="none"/>
          <w:lang w:val="en-US" w:eastAsia="zh-CN"/>
        </w:rPr>
        <w:t>2、服务养护内容：</w:t>
      </w:r>
      <w:r>
        <w:rPr>
          <w:rFonts w:hint="eastAsia" w:ascii="宋体" w:hAnsi="宋体" w:eastAsia="宋体" w:cs="宋体"/>
          <w:b w:val="0"/>
          <w:bCs/>
          <w:color w:val="auto"/>
          <w:sz w:val="24"/>
          <w:highlight w:val="none"/>
          <w:lang w:val="en-US" w:eastAsia="zh-CN"/>
        </w:rPr>
        <w:t>主要包括邹城市钢山街道邹鲁苑公园</w:t>
      </w:r>
      <w:r>
        <w:rPr>
          <w:rFonts w:hint="eastAsia" w:ascii="宋体" w:hAnsi="宋体" w:cs="宋体"/>
          <w:b w:val="0"/>
          <w:bCs/>
          <w:color w:val="auto"/>
          <w:sz w:val="24"/>
          <w:highlight w:val="none"/>
          <w:lang w:val="en-US" w:eastAsia="zh-CN"/>
        </w:rPr>
        <w:t>内</w:t>
      </w:r>
      <w:r>
        <w:rPr>
          <w:rFonts w:hint="eastAsia" w:ascii="宋体" w:hAnsi="宋体" w:eastAsia="宋体" w:cs="宋体"/>
          <w:b w:val="0"/>
          <w:bCs/>
          <w:color w:val="auto"/>
          <w:sz w:val="24"/>
          <w:highlight w:val="none"/>
          <w:lang w:val="en-US" w:eastAsia="zh-CN"/>
        </w:rPr>
        <w:t>绿化养护管理</w:t>
      </w:r>
      <w:r>
        <w:rPr>
          <w:rFonts w:hint="eastAsia" w:ascii="宋体" w:hAnsi="宋体" w:cs="宋体"/>
          <w:b w:val="0"/>
          <w:bCs/>
          <w:color w:val="auto"/>
          <w:sz w:val="24"/>
          <w:highlight w:val="none"/>
          <w:lang w:val="en-US" w:eastAsia="zh-CN"/>
        </w:rPr>
        <w:t>、保洁、保安</w:t>
      </w:r>
      <w:r>
        <w:rPr>
          <w:rFonts w:hint="eastAsia" w:ascii="宋体" w:hAnsi="宋体" w:eastAsia="宋体" w:cs="宋体"/>
          <w:b w:val="0"/>
          <w:bCs/>
          <w:color w:val="auto"/>
          <w:sz w:val="24"/>
          <w:highlight w:val="none"/>
          <w:lang w:val="en-US" w:eastAsia="zh-CN"/>
        </w:rPr>
        <w:t>服务。预算金额为</w:t>
      </w:r>
      <w:r>
        <w:rPr>
          <w:rFonts w:hint="eastAsia" w:ascii="宋体" w:hAnsi="宋体" w:cs="宋体"/>
          <w:b w:val="0"/>
          <w:bCs/>
          <w:color w:val="auto"/>
          <w:sz w:val="24"/>
          <w:highlight w:val="none"/>
          <w:lang w:val="en-US" w:eastAsia="zh-CN"/>
        </w:rPr>
        <w:t>278000.00</w:t>
      </w:r>
      <w:r>
        <w:rPr>
          <w:rFonts w:hint="eastAsia" w:ascii="宋体" w:hAnsi="宋体" w:eastAsia="宋体" w:cs="宋体"/>
          <w:b w:val="0"/>
          <w:bCs/>
          <w:color w:val="auto"/>
          <w:sz w:val="24"/>
          <w:highlight w:val="none"/>
          <w:lang w:val="en-US" w:eastAsia="zh-CN"/>
        </w:rPr>
        <w:t>元。</w:t>
      </w:r>
    </w:p>
    <w:p w14:paraId="326F0608">
      <w:pPr>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二、养护管理内容及标准：</w:t>
      </w:r>
    </w:p>
    <w:p w14:paraId="7F3F6534">
      <w:pPr>
        <w:spacing w:line="360" w:lineRule="auto"/>
        <w:ind w:firstLine="482" w:firstLineChars="200"/>
        <w:rPr>
          <w:rFonts w:hint="eastAsia"/>
          <w:highlight w:val="none"/>
          <w:lang w:val="en-US" w:eastAsia="zh-CN"/>
        </w:rPr>
      </w:pPr>
      <w:r>
        <w:rPr>
          <w:rFonts w:hint="eastAsia" w:ascii="宋体" w:hAnsi="宋体" w:eastAsia="宋体" w:cs="宋体"/>
          <w:b/>
          <w:bCs/>
          <w:color w:val="auto"/>
          <w:kern w:val="0"/>
          <w:sz w:val="24"/>
          <w:szCs w:val="24"/>
          <w:highlight w:val="none"/>
          <w:lang w:val="en-US" w:eastAsia="zh-CN"/>
        </w:rPr>
        <w:t>1、养护管理</w:t>
      </w:r>
      <w:r>
        <w:rPr>
          <w:rFonts w:hint="eastAsia" w:ascii="宋体" w:hAnsi="宋体" w:cs="宋体"/>
          <w:b/>
          <w:bCs/>
          <w:color w:val="auto"/>
          <w:kern w:val="0"/>
          <w:sz w:val="24"/>
          <w:szCs w:val="24"/>
          <w:highlight w:val="none"/>
          <w:lang w:val="en-US" w:eastAsia="zh-CN"/>
        </w:rPr>
        <w:t>服务</w:t>
      </w:r>
      <w:r>
        <w:rPr>
          <w:rFonts w:hint="eastAsia" w:ascii="宋体" w:hAnsi="宋体" w:eastAsia="宋体" w:cs="宋体"/>
          <w:b/>
          <w:bCs/>
          <w:color w:val="auto"/>
          <w:kern w:val="0"/>
          <w:sz w:val="24"/>
          <w:szCs w:val="24"/>
          <w:highlight w:val="none"/>
          <w:lang w:val="en-US" w:eastAsia="zh-CN"/>
        </w:rPr>
        <w:t>内容</w:t>
      </w:r>
    </w:p>
    <w:tbl>
      <w:tblPr>
        <w:tblStyle w:val="13"/>
        <w:tblpPr w:leftFromText="180" w:rightFromText="180" w:vertAnchor="text" w:horzAnchor="page" w:tblpXSpec="center" w:tblpY="430"/>
        <w:tblOverlap w:val="never"/>
        <w:tblW w:w="8217" w:type="dxa"/>
        <w:jc w:val="center"/>
        <w:tblLayout w:type="fixed"/>
        <w:tblCellMar>
          <w:top w:w="0" w:type="dxa"/>
          <w:left w:w="0" w:type="dxa"/>
          <w:bottom w:w="0" w:type="dxa"/>
          <w:right w:w="0" w:type="dxa"/>
        </w:tblCellMar>
      </w:tblPr>
      <w:tblGrid>
        <w:gridCol w:w="1052"/>
        <w:gridCol w:w="2832"/>
        <w:gridCol w:w="1339"/>
        <w:gridCol w:w="1598"/>
        <w:gridCol w:w="1396"/>
      </w:tblGrid>
      <w:tr w14:paraId="09B96CA9">
        <w:tblPrEx>
          <w:tblCellMar>
            <w:top w:w="0" w:type="dxa"/>
            <w:left w:w="0" w:type="dxa"/>
            <w:bottom w:w="0" w:type="dxa"/>
            <w:right w:w="0" w:type="dxa"/>
          </w:tblCellMar>
        </w:tblPrEx>
        <w:trPr>
          <w:trHeight w:val="489" w:hRule="atLeast"/>
          <w:jc w:val="center"/>
        </w:trPr>
        <w:tc>
          <w:tcPr>
            <w:tcW w:w="1052"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14:paraId="5EBD61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序号</w:t>
            </w:r>
          </w:p>
        </w:tc>
        <w:tc>
          <w:tcPr>
            <w:tcW w:w="2832"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14:paraId="1F4F65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bidi="ar"/>
              </w:rPr>
              <w:t>服务项目</w:t>
            </w:r>
          </w:p>
        </w:tc>
        <w:tc>
          <w:tcPr>
            <w:tcW w:w="1339"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14:paraId="1EBDCA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单位</w:t>
            </w:r>
          </w:p>
        </w:tc>
        <w:tc>
          <w:tcPr>
            <w:tcW w:w="159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14:paraId="6CA895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bidi="ar"/>
              </w:rPr>
              <w:t>数量</w:t>
            </w:r>
          </w:p>
        </w:tc>
        <w:tc>
          <w:tcPr>
            <w:tcW w:w="139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1A50A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备注</w:t>
            </w:r>
          </w:p>
        </w:tc>
      </w:tr>
      <w:tr w14:paraId="1BFC7C01">
        <w:tblPrEx>
          <w:tblCellMar>
            <w:top w:w="0" w:type="dxa"/>
            <w:left w:w="0" w:type="dxa"/>
            <w:bottom w:w="0" w:type="dxa"/>
            <w:right w:w="0" w:type="dxa"/>
          </w:tblCellMar>
        </w:tblPrEx>
        <w:trPr>
          <w:trHeight w:val="1007" w:hRule="atLeast"/>
          <w:jc w:val="center"/>
        </w:trPr>
        <w:tc>
          <w:tcPr>
            <w:tcW w:w="1052"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14:paraId="05B29D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1</w:t>
            </w:r>
          </w:p>
        </w:tc>
        <w:tc>
          <w:tcPr>
            <w:tcW w:w="2832"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14:paraId="3B522F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bidi="ar"/>
              </w:rPr>
              <w:t>绿化养护服务</w:t>
            </w:r>
          </w:p>
        </w:tc>
        <w:tc>
          <w:tcPr>
            <w:tcW w:w="1339"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14:paraId="76A453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m2</w:t>
            </w:r>
          </w:p>
        </w:tc>
        <w:tc>
          <w:tcPr>
            <w:tcW w:w="159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14:paraId="1BFE54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44212</w:t>
            </w:r>
          </w:p>
        </w:tc>
        <w:tc>
          <w:tcPr>
            <w:tcW w:w="139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84D0694">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highlight w:val="none"/>
              </w:rPr>
            </w:pPr>
          </w:p>
        </w:tc>
      </w:tr>
      <w:tr w14:paraId="5898CCDE">
        <w:tblPrEx>
          <w:tblCellMar>
            <w:top w:w="0" w:type="dxa"/>
            <w:left w:w="0" w:type="dxa"/>
            <w:bottom w:w="0" w:type="dxa"/>
            <w:right w:w="0" w:type="dxa"/>
          </w:tblCellMar>
        </w:tblPrEx>
        <w:trPr>
          <w:trHeight w:val="1007" w:hRule="atLeast"/>
          <w:jc w:val="center"/>
        </w:trPr>
        <w:tc>
          <w:tcPr>
            <w:tcW w:w="1052"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14:paraId="1C6DDC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2</w:t>
            </w:r>
          </w:p>
        </w:tc>
        <w:tc>
          <w:tcPr>
            <w:tcW w:w="2832"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14:paraId="725F36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保洁服务</w:t>
            </w:r>
          </w:p>
        </w:tc>
        <w:tc>
          <w:tcPr>
            <w:tcW w:w="1339"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14:paraId="1BE356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人</w:t>
            </w:r>
          </w:p>
        </w:tc>
        <w:tc>
          <w:tcPr>
            <w:tcW w:w="159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14:paraId="382E6B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p>
        </w:tc>
        <w:tc>
          <w:tcPr>
            <w:tcW w:w="139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2B4F310">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highlight w:val="none"/>
              </w:rPr>
            </w:pPr>
          </w:p>
        </w:tc>
      </w:tr>
      <w:tr w14:paraId="4FF78716">
        <w:tblPrEx>
          <w:tblCellMar>
            <w:top w:w="0" w:type="dxa"/>
            <w:left w:w="0" w:type="dxa"/>
            <w:bottom w:w="0" w:type="dxa"/>
            <w:right w:w="0" w:type="dxa"/>
          </w:tblCellMar>
        </w:tblPrEx>
        <w:trPr>
          <w:trHeight w:val="1007" w:hRule="atLeast"/>
          <w:jc w:val="center"/>
        </w:trPr>
        <w:tc>
          <w:tcPr>
            <w:tcW w:w="1052"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14:paraId="07302A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3</w:t>
            </w:r>
          </w:p>
        </w:tc>
        <w:tc>
          <w:tcPr>
            <w:tcW w:w="2832"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14:paraId="42BE48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保安服务</w:t>
            </w:r>
          </w:p>
        </w:tc>
        <w:tc>
          <w:tcPr>
            <w:tcW w:w="1339"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14:paraId="544BF4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人</w:t>
            </w:r>
          </w:p>
        </w:tc>
        <w:tc>
          <w:tcPr>
            <w:tcW w:w="1598" w:type="dxa"/>
            <w:tcBorders>
              <w:top w:val="single" w:color="auto" w:sz="4" w:space="0"/>
              <w:left w:val="single" w:color="auto" w:sz="4" w:space="0"/>
              <w:bottom w:val="single" w:color="auto" w:sz="4" w:space="0"/>
              <w:right w:val="single" w:color="auto" w:sz="4" w:space="0"/>
            </w:tcBorders>
            <w:shd w:val="clear" w:color="auto" w:fill="FFFFFF"/>
            <w:noWrap w:val="0"/>
            <w:tcMar>
              <w:top w:w="12" w:type="dxa"/>
              <w:left w:w="12" w:type="dxa"/>
              <w:right w:w="12" w:type="dxa"/>
            </w:tcMar>
            <w:vAlign w:val="center"/>
          </w:tcPr>
          <w:p w14:paraId="25E7CF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p>
        </w:tc>
        <w:tc>
          <w:tcPr>
            <w:tcW w:w="139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9C37573">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highlight w:val="none"/>
              </w:rPr>
            </w:pPr>
          </w:p>
        </w:tc>
      </w:tr>
    </w:tbl>
    <w:p w14:paraId="06DBF648">
      <w:pPr>
        <w:spacing w:line="360" w:lineRule="auto"/>
        <w:ind w:firstLine="482" w:firstLineChars="200"/>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2、服务期：</w:t>
      </w:r>
      <w:r>
        <w:rPr>
          <w:rFonts w:hint="eastAsia" w:ascii="宋体" w:hAnsi="宋体" w:cs="宋体"/>
          <w:b w:val="0"/>
          <w:bCs w:val="0"/>
          <w:color w:val="auto"/>
          <w:kern w:val="0"/>
          <w:sz w:val="24"/>
          <w:szCs w:val="24"/>
          <w:highlight w:val="none"/>
          <w:lang w:val="en-US" w:eastAsia="zh-CN"/>
        </w:rPr>
        <w:t>本次采购服务期限一年，合同一年一签，合同到期后，采购人视中标方履约情况决定合同是否续签，最多续签两年。</w:t>
      </w:r>
    </w:p>
    <w:p w14:paraId="76C222AD">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绿化养护服务标准及要求</w:t>
      </w:r>
      <w:r>
        <w:rPr>
          <w:rFonts w:hint="eastAsia" w:ascii="宋体" w:hAnsi="宋体" w:eastAsia="宋体" w:cs="宋体"/>
          <w:b/>
          <w:bCs/>
          <w:sz w:val="24"/>
          <w:szCs w:val="24"/>
          <w:highlight w:val="none"/>
          <w:lang w:eastAsia="zh-CN"/>
        </w:rPr>
        <w:t>：</w:t>
      </w:r>
    </w:p>
    <w:p w14:paraId="112360A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绿化养护服务标准</w:t>
      </w:r>
      <w:r>
        <w:rPr>
          <w:rFonts w:hint="eastAsia" w:ascii="宋体" w:hAnsi="宋体" w:eastAsia="宋体" w:cs="宋体"/>
          <w:sz w:val="24"/>
          <w:szCs w:val="24"/>
          <w:highlight w:val="none"/>
          <w:lang w:eastAsia="zh-CN"/>
        </w:rPr>
        <w:t>：</w:t>
      </w:r>
    </w:p>
    <w:p w14:paraId="0CD97E1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①</w:t>
      </w:r>
      <w:r>
        <w:rPr>
          <w:rFonts w:hint="eastAsia" w:ascii="宋体" w:hAnsi="宋体" w:eastAsia="宋体" w:cs="宋体"/>
          <w:sz w:val="24"/>
          <w:szCs w:val="24"/>
          <w:highlight w:val="none"/>
        </w:rPr>
        <w:t>树木类:生长正常、内隆通风透风、无明显枯枝死叉、能及时治虫</w:t>
      </w:r>
      <w:r>
        <w:rPr>
          <w:rFonts w:hint="eastAsia" w:ascii="宋体" w:hAnsi="宋体" w:eastAsia="宋体" w:cs="宋体"/>
          <w:sz w:val="24"/>
          <w:szCs w:val="24"/>
          <w:highlight w:val="none"/>
          <w:lang w:eastAsia="zh-CN"/>
        </w:rPr>
        <w:t>；</w:t>
      </w:r>
    </w:p>
    <w:p w14:paraId="26CF87A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②</w:t>
      </w:r>
      <w:r>
        <w:rPr>
          <w:rFonts w:hint="eastAsia" w:ascii="宋体" w:hAnsi="宋体" w:eastAsia="宋体" w:cs="宋体"/>
          <w:sz w:val="24"/>
          <w:szCs w:val="24"/>
          <w:highlight w:val="none"/>
        </w:rPr>
        <w:t>草坪:生长良好、无高大杂草(杂草串≤2.5%)、90%&lt;覆盖率≤95%、及时修剪(草坪高度≤20CM)、保持整洁</w:t>
      </w:r>
      <w:r>
        <w:rPr>
          <w:rFonts w:hint="eastAsia" w:ascii="宋体" w:hAnsi="宋体" w:eastAsia="宋体" w:cs="宋体"/>
          <w:sz w:val="24"/>
          <w:szCs w:val="24"/>
          <w:highlight w:val="none"/>
          <w:lang w:eastAsia="zh-CN"/>
        </w:rPr>
        <w:t>；</w:t>
      </w:r>
    </w:p>
    <w:p w14:paraId="69AB0EE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③</w:t>
      </w:r>
      <w:r>
        <w:rPr>
          <w:rFonts w:hint="eastAsia" w:ascii="宋体" w:hAnsi="宋体" w:eastAsia="宋体" w:cs="宋体"/>
          <w:sz w:val="24"/>
          <w:szCs w:val="24"/>
          <w:highlight w:val="none"/>
        </w:rPr>
        <w:t>绿篱及地被:生长正常、修剪及时、形状完善、无垃圾杂物。</w:t>
      </w:r>
    </w:p>
    <w:p w14:paraId="2ACF09D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绿化养护要求</w:t>
      </w:r>
      <w:r>
        <w:rPr>
          <w:rFonts w:hint="eastAsia" w:ascii="宋体" w:hAnsi="宋体" w:eastAsia="宋体" w:cs="宋体"/>
          <w:sz w:val="24"/>
          <w:szCs w:val="24"/>
          <w:highlight w:val="none"/>
          <w:lang w:eastAsia="zh-CN"/>
        </w:rPr>
        <w:t>：</w:t>
      </w:r>
    </w:p>
    <w:p w14:paraId="088D157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①</w:t>
      </w:r>
      <w:r>
        <w:rPr>
          <w:rFonts w:hint="eastAsia" w:ascii="宋体" w:hAnsi="宋体" w:eastAsia="宋体" w:cs="宋体"/>
          <w:sz w:val="24"/>
          <w:szCs w:val="24"/>
          <w:highlight w:val="none"/>
        </w:rPr>
        <w:t>乔木类、灌木类、球类植物:修剪、病虫害防治、灌溉及加土扶正</w:t>
      </w:r>
      <w:r>
        <w:rPr>
          <w:rFonts w:hint="eastAsia" w:ascii="宋体" w:hAnsi="宋体" w:eastAsia="宋体" w:cs="宋体"/>
          <w:sz w:val="24"/>
          <w:szCs w:val="24"/>
          <w:highlight w:val="none"/>
          <w:lang w:eastAsia="zh-CN"/>
        </w:rPr>
        <w:t>；</w:t>
      </w:r>
    </w:p>
    <w:p w14:paraId="22ECEF3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②</w:t>
      </w:r>
      <w:r>
        <w:rPr>
          <w:rFonts w:hint="eastAsia" w:ascii="宋体" w:hAnsi="宋体" w:eastAsia="宋体" w:cs="宋体"/>
          <w:sz w:val="24"/>
          <w:szCs w:val="24"/>
          <w:highlight w:val="none"/>
        </w:rPr>
        <w:t>绿篱、竹类:除修翦、病虫害防治、灌溉及加土扶正外，需整形、枯死及时清除</w:t>
      </w:r>
      <w:r>
        <w:rPr>
          <w:rFonts w:hint="eastAsia" w:ascii="宋体" w:hAnsi="宋体" w:eastAsia="宋体" w:cs="宋体"/>
          <w:sz w:val="24"/>
          <w:szCs w:val="24"/>
          <w:highlight w:val="none"/>
          <w:lang w:eastAsia="zh-CN"/>
        </w:rPr>
        <w:t>；</w:t>
      </w:r>
    </w:p>
    <w:p w14:paraId="5E3C65A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③</w:t>
      </w:r>
      <w:r>
        <w:rPr>
          <w:rFonts w:hint="eastAsia" w:ascii="宋体" w:hAnsi="宋体" w:eastAsia="宋体" w:cs="宋体"/>
          <w:sz w:val="24"/>
          <w:szCs w:val="24"/>
          <w:highlight w:val="none"/>
        </w:rPr>
        <w:t>露地花卉:修剪、病虫害防治、灌溉及缺株补植</w:t>
      </w:r>
      <w:r>
        <w:rPr>
          <w:rFonts w:hint="eastAsia" w:ascii="宋体" w:hAnsi="宋体" w:eastAsia="宋体" w:cs="宋体"/>
          <w:sz w:val="24"/>
          <w:szCs w:val="24"/>
          <w:highlight w:val="none"/>
          <w:lang w:eastAsia="zh-CN"/>
        </w:rPr>
        <w:t>；</w:t>
      </w:r>
    </w:p>
    <w:p w14:paraId="28D30E7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④</w:t>
      </w:r>
      <w:r>
        <w:rPr>
          <w:rFonts w:hint="eastAsia" w:ascii="宋体" w:hAnsi="宋体" w:eastAsia="宋体" w:cs="宋体"/>
          <w:sz w:val="24"/>
          <w:szCs w:val="24"/>
          <w:highlight w:val="none"/>
        </w:rPr>
        <w:t>草坪类:每年修剪不少于五次、病虫害及时防治、除杂草四次以上、其它及时灌溉、保洁</w:t>
      </w:r>
      <w:r>
        <w:rPr>
          <w:rFonts w:hint="eastAsia" w:ascii="宋体" w:hAnsi="宋体" w:eastAsia="宋体" w:cs="宋体"/>
          <w:sz w:val="24"/>
          <w:szCs w:val="24"/>
          <w:highlight w:val="none"/>
          <w:lang w:eastAsia="zh-CN"/>
        </w:rPr>
        <w:t>；</w:t>
      </w:r>
    </w:p>
    <w:p w14:paraId="2601D0E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⑤</w:t>
      </w:r>
      <w:r>
        <w:rPr>
          <w:rFonts w:hint="eastAsia" w:ascii="宋体" w:hAnsi="宋体" w:eastAsia="宋体" w:cs="宋体"/>
          <w:sz w:val="24"/>
          <w:szCs w:val="24"/>
          <w:highlight w:val="none"/>
        </w:rPr>
        <w:t>环境清理、草坪局部施肥等。每年杂树清理且割草一次以上，有病虫害及时防治、灌溉及加土扶正、保持存活。</w:t>
      </w:r>
    </w:p>
    <w:p w14:paraId="511CAF5B">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4、保洁服务标准</w:t>
      </w:r>
      <w:r>
        <w:rPr>
          <w:rFonts w:hint="eastAsia" w:ascii="宋体" w:hAnsi="宋体" w:eastAsia="宋体" w:cs="宋体"/>
          <w:b/>
          <w:bCs/>
          <w:sz w:val="24"/>
          <w:szCs w:val="24"/>
          <w:highlight w:val="none"/>
          <w:lang w:eastAsia="zh-CN"/>
        </w:rPr>
        <w:t>：</w:t>
      </w:r>
    </w:p>
    <w:p w14:paraId="2DD2E38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院内路面:地面干净。明沟无杂物，无积水。通道地面应保持畅通，无堆放杂物、无积灰、积水、无污迹、油渍、轮胎印，地面应保持原色</w:t>
      </w:r>
      <w:r>
        <w:rPr>
          <w:rFonts w:hint="eastAsia" w:ascii="宋体" w:hAnsi="宋体" w:eastAsia="宋体" w:cs="宋体"/>
          <w:sz w:val="24"/>
          <w:szCs w:val="24"/>
          <w:highlight w:val="none"/>
          <w:lang w:eastAsia="zh-CN"/>
        </w:rPr>
        <w:t>；</w:t>
      </w:r>
    </w:p>
    <w:p w14:paraId="4C53CBE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雨雪天气的处理:遇雨雪天气应及时处理积雪、积水，保持道路畅通</w:t>
      </w:r>
      <w:r>
        <w:rPr>
          <w:rFonts w:hint="eastAsia" w:ascii="宋体" w:hAnsi="宋体" w:eastAsia="宋体" w:cs="宋体"/>
          <w:sz w:val="24"/>
          <w:szCs w:val="24"/>
          <w:highlight w:val="none"/>
          <w:lang w:eastAsia="zh-CN"/>
        </w:rPr>
        <w:t>。</w:t>
      </w:r>
    </w:p>
    <w:p w14:paraId="2AAE5321">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5、保安服务标准:</w:t>
      </w:r>
    </w:p>
    <w:p w14:paraId="71FD249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公共秩序管理:区域内维持公共秩序，做好安全保卫和防范工作</w:t>
      </w:r>
      <w:r>
        <w:rPr>
          <w:rFonts w:hint="eastAsia" w:ascii="宋体" w:hAnsi="宋体" w:eastAsia="宋体" w:cs="宋体"/>
          <w:sz w:val="24"/>
          <w:szCs w:val="24"/>
          <w:highlight w:val="none"/>
          <w:lang w:eastAsia="zh-CN"/>
        </w:rPr>
        <w:t>；</w:t>
      </w:r>
    </w:p>
    <w:p w14:paraId="1CB3127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交通秩序维护:区域内各类车辆进出时的交通引导;对车辆的停放进行管理，确保车辆正常的停放秩序</w:t>
      </w:r>
      <w:r>
        <w:rPr>
          <w:rFonts w:hint="eastAsia" w:ascii="宋体" w:hAnsi="宋体" w:eastAsia="宋体" w:cs="宋体"/>
          <w:sz w:val="24"/>
          <w:szCs w:val="24"/>
          <w:highlight w:val="none"/>
          <w:lang w:eastAsia="zh-CN"/>
        </w:rPr>
        <w:t>；</w:t>
      </w:r>
    </w:p>
    <w:p w14:paraId="087F4CE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消防防灾管理:区域内消防设施的日常维护、保养和检查，落实消防工作责任制，做好消防监控值班和巡查，及时发现火灾隐患，按要求制定应急预案并定期开展预案演练</w:t>
      </w:r>
      <w:r>
        <w:rPr>
          <w:rFonts w:hint="eastAsia" w:ascii="宋体" w:hAnsi="宋体" w:cs="宋体"/>
          <w:sz w:val="24"/>
          <w:szCs w:val="24"/>
          <w:highlight w:val="none"/>
          <w:lang w:eastAsia="zh-CN"/>
        </w:rPr>
        <w:t>，一旦发生</w:t>
      </w:r>
      <w:r>
        <w:rPr>
          <w:rFonts w:hint="eastAsia" w:ascii="宋体" w:hAnsi="宋体" w:eastAsia="宋体" w:cs="宋体"/>
          <w:sz w:val="24"/>
          <w:szCs w:val="24"/>
          <w:highlight w:val="none"/>
        </w:rPr>
        <w:t>火灾配合消防部门扑救。</w:t>
      </w:r>
    </w:p>
    <w:p w14:paraId="2FD8AB46">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6、其他事项:</w:t>
      </w:r>
    </w:p>
    <w:p w14:paraId="471CCCC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按照甲方要求提供绿化养护管理服务要求做好绿化养护管理有关工作等。</w:t>
      </w:r>
    </w:p>
    <w:p w14:paraId="7B1C8523">
      <w:pPr>
        <w:spacing w:line="600" w:lineRule="exact"/>
        <w:jc w:val="center"/>
        <w:outlineLvl w:val="0"/>
        <w:rPr>
          <w:rFonts w:ascii="宋体" w:hAnsi="宋体" w:cs="宋体"/>
          <w:b/>
          <w:color w:val="auto"/>
          <w:sz w:val="32"/>
          <w:szCs w:val="32"/>
          <w:highlight w:val="none"/>
        </w:rPr>
      </w:pPr>
    </w:p>
    <w:p w14:paraId="681AC1F0">
      <w:pPr>
        <w:spacing w:line="600" w:lineRule="exact"/>
        <w:jc w:val="center"/>
        <w:outlineLvl w:val="0"/>
        <w:rPr>
          <w:rFonts w:ascii="宋体" w:hAnsi="宋体" w:cs="宋体"/>
          <w:b/>
          <w:color w:val="auto"/>
          <w:sz w:val="32"/>
          <w:szCs w:val="32"/>
          <w:highlight w:val="none"/>
        </w:rPr>
      </w:pPr>
    </w:p>
    <w:p w14:paraId="58D0C7CF">
      <w:pPr>
        <w:spacing w:line="600" w:lineRule="exact"/>
        <w:jc w:val="center"/>
        <w:outlineLvl w:val="0"/>
        <w:rPr>
          <w:rFonts w:ascii="宋体" w:hAnsi="宋体" w:cs="宋体"/>
          <w:b/>
          <w:color w:val="auto"/>
          <w:sz w:val="32"/>
          <w:szCs w:val="32"/>
          <w:highlight w:val="none"/>
        </w:rPr>
      </w:pPr>
    </w:p>
    <w:p w14:paraId="2962DD6E">
      <w:pPr>
        <w:rPr>
          <w:rFonts w:ascii="宋体" w:hAnsi="宋体" w:cs="宋体"/>
          <w:b/>
          <w:color w:val="auto"/>
          <w:sz w:val="32"/>
          <w:szCs w:val="32"/>
          <w:highlight w:val="none"/>
        </w:rPr>
      </w:pPr>
      <w:r>
        <w:rPr>
          <w:rFonts w:ascii="宋体" w:hAnsi="宋体" w:cs="宋体"/>
          <w:b/>
          <w:color w:val="auto"/>
          <w:sz w:val="32"/>
          <w:szCs w:val="32"/>
          <w:highlight w:val="none"/>
        </w:rPr>
        <w:br w:type="page"/>
      </w:r>
    </w:p>
    <w:p w14:paraId="159EB299">
      <w:pPr>
        <w:spacing w:line="600" w:lineRule="exact"/>
        <w:jc w:val="center"/>
        <w:outlineLvl w:val="0"/>
        <w:rPr>
          <w:rFonts w:ascii="宋体" w:hAnsi="宋体" w:cs="宋体"/>
          <w:b/>
          <w:color w:val="auto"/>
          <w:sz w:val="32"/>
          <w:szCs w:val="32"/>
          <w:highlight w:val="none"/>
        </w:rPr>
      </w:pPr>
      <w:r>
        <w:rPr>
          <w:rFonts w:ascii="宋体" w:hAnsi="宋体" w:cs="宋体"/>
          <w:b/>
          <w:color w:val="auto"/>
          <w:sz w:val="32"/>
          <w:szCs w:val="32"/>
          <w:highlight w:val="none"/>
        </w:rPr>
        <w:t>第五部分 合同授予</w:t>
      </w:r>
    </w:p>
    <w:p w14:paraId="62897C17">
      <w:pPr>
        <w:widowControl/>
        <w:spacing w:line="560" w:lineRule="exact"/>
        <w:ind w:firstLine="482" w:firstLineChars="200"/>
        <w:rPr>
          <w:rFonts w:ascii="宋体" w:hAnsi="宋体" w:cs="宋体"/>
          <w:b/>
          <w:bCs/>
          <w:color w:val="auto"/>
          <w:kern w:val="0"/>
          <w:sz w:val="24"/>
          <w:highlight w:val="none"/>
        </w:rPr>
      </w:pPr>
      <w:r>
        <w:rPr>
          <w:rFonts w:ascii="宋体" w:hAnsi="宋体" w:cs="宋体"/>
          <w:b/>
          <w:bCs/>
          <w:color w:val="auto"/>
          <w:kern w:val="0"/>
          <w:sz w:val="24"/>
          <w:highlight w:val="none"/>
        </w:rPr>
        <w:t>一、签订合同：</w:t>
      </w:r>
    </w:p>
    <w:p w14:paraId="6AF56BEE">
      <w:pPr>
        <w:widowControl/>
        <w:spacing w:line="56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磋商结果公示无异议后</w:t>
      </w:r>
      <w:r>
        <w:rPr>
          <w:rFonts w:hint="eastAsia" w:ascii="宋体" w:hAnsi="宋体" w:cs="宋体"/>
          <w:color w:val="auto"/>
          <w:kern w:val="0"/>
          <w:sz w:val="24"/>
          <w:highlight w:val="none"/>
          <w:lang w:val="en-US" w:eastAsia="zh-CN"/>
        </w:rPr>
        <w:t>10</w:t>
      </w:r>
      <w:r>
        <w:rPr>
          <w:rFonts w:ascii="宋体" w:hAnsi="宋体" w:cs="宋体"/>
          <w:color w:val="auto"/>
          <w:kern w:val="0"/>
          <w:sz w:val="24"/>
          <w:highlight w:val="none"/>
        </w:rPr>
        <w:t>日内，由采购人和成交供应商签订合同，合同签订的内容不能超出磋商文件、成交供应商的磋商文件、</w:t>
      </w:r>
      <w:r>
        <w:rPr>
          <w:rFonts w:ascii="宋体" w:hAnsi="宋体" w:cs="宋体"/>
          <w:bCs/>
          <w:color w:val="auto"/>
          <w:sz w:val="24"/>
          <w:highlight w:val="none"/>
        </w:rPr>
        <w:t>磋商</w:t>
      </w:r>
      <w:r>
        <w:rPr>
          <w:rFonts w:ascii="宋体" w:hAnsi="宋体" w:cs="宋体"/>
          <w:color w:val="auto"/>
          <w:kern w:val="0"/>
          <w:sz w:val="24"/>
          <w:highlight w:val="none"/>
        </w:rPr>
        <w:t>过程中的补充承诺、最终书面报价的实质性内容。因供应商原因不能与采购人签订合同的，视为供应商放弃成交资格。</w:t>
      </w:r>
    </w:p>
    <w:p w14:paraId="53BD7A4E">
      <w:pPr>
        <w:spacing w:line="560" w:lineRule="exact"/>
        <w:ind w:firstLine="482" w:firstLineChars="200"/>
        <w:rPr>
          <w:rFonts w:ascii="宋体" w:hAnsi="宋体" w:cs="宋体"/>
          <w:b/>
          <w:color w:val="auto"/>
          <w:sz w:val="24"/>
          <w:highlight w:val="none"/>
        </w:rPr>
      </w:pPr>
      <w:r>
        <w:rPr>
          <w:rFonts w:ascii="宋体" w:hAnsi="宋体" w:cs="宋体"/>
          <w:b/>
          <w:color w:val="auto"/>
          <w:sz w:val="24"/>
          <w:highlight w:val="none"/>
        </w:rPr>
        <w:t>二、合同格式：</w:t>
      </w:r>
    </w:p>
    <w:p w14:paraId="18BD3E57">
      <w:pPr>
        <w:widowControl/>
        <w:spacing w:line="56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本合同格式为参考格式，具体内容以采购人和成交</w:t>
      </w:r>
      <w:r>
        <w:rPr>
          <w:rFonts w:ascii="宋体" w:hAnsi="宋体" w:cs="宋体"/>
          <w:color w:val="auto"/>
          <w:sz w:val="24"/>
          <w:highlight w:val="none"/>
        </w:rPr>
        <w:t>供应商</w:t>
      </w:r>
      <w:r>
        <w:rPr>
          <w:rFonts w:ascii="宋体" w:hAnsi="宋体" w:cs="宋体"/>
          <w:color w:val="auto"/>
          <w:kern w:val="0"/>
          <w:sz w:val="24"/>
          <w:highlight w:val="none"/>
        </w:rPr>
        <w:t>双方最终协商确定的为准，但不得背离磋商的实质性内容。</w:t>
      </w:r>
    </w:p>
    <w:p w14:paraId="24311E2A">
      <w:pPr>
        <w:pStyle w:val="10"/>
        <w:rPr>
          <w:rFonts w:ascii="宋体" w:hAnsi="宋体" w:cs="宋体"/>
          <w:color w:val="auto"/>
          <w:kern w:val="0"/>
          <w:sz w:val="24"/>
          <w:highlight w:val="none"/>
        </w:rPr>
      </w:pPr>
    </w:p>
    <w:p w14:paraId="177FE548">
      <w:pPr>
        <w:rPr>
          <w:rFonts w:ascii="宋体" w:hAnsi="宋体" w:cs="宋体"/>
          <w:color w:val="auto"/>
          <w:kern w:val="0"/>
          <w:sz w:val="24"/>
          <w:highlight w:val="none"/>
        </w:rPr>
      </w:pPr>
    </w:p>
    <w:p w14:paraId="7EF2934B">
      <w:pPr>
        <w:pStyle w:val="10"/>
        <w:rPr>
          <w:rFonts w:ascii="宋体" w:hAnsi="宋体" w:cs="宋体"/>
          <w:color w:val="auto"/>
          <w:kern w:val="0"/>
          <w:sz w:val="24"/>
          <w:highlight w:val="none"/>
        </w:rPr>
      </w:pPr>
    </w:p>
    <w:p w14:paraId="75144188">
      <w:pPr>
        <w:rPr>
          <w:rFonts w:ascii="宋体" w:hAnsi="宋体" w:cs="宋体"/>
          <w:color w:val="auto"/>
          <w:kern w:val="0"/>
          <w:sz w:val="24"/>
          <w:highlight w:val="none"/>
        </w:rPr>
      </w:pPr>
    </w:p>
    <w:p w14:paraId="34ACB878">
      <w:pPr>
        <w:pStyle w:val="10"/>
        <w:rPr>
          <w:rFonts w:ascii="宋体" w:hAnsi="宋体" w:cs="宋体"/>
          <w:color w:val="auto"/>
          <w:kern w:val="0"/>
          <w:sz w:val="24"/>
          <w:highlight w:val="none"/>
        </w:rPr>
      </w:pPr>
    </w:p>
    <w:p w14:paraId="456757A4">
      <w:pPr>
        <w:rPr>
          <w:rFonts w:ascii="宋体" w:hAnsi="宋体" w:cs="宋体"/>
          <w:color w:val="auto"/>
          <w:kern w:val="0"/>
          <w:sz w:val="24"/>
          <w:highlight w:val="none"/>
        </w:rPr>
      </w:pPr>
    </w:p>
    <w:p w14:paraId="0E10462F">
      <w:pPr>
        <w:pStyle w:val="10"/>
        <w:rPr>
          <w:rFonts w:ascii="宋体" w:hAnsi="宋体" w:cs="宋体"/>
          <w:color w:val="auto"/>
          <w:kern w:val="0"/>
          <w:sz w:val="24"/>
          <w:highlight w:val="none"/>
        </w:rPr>
      </w:pPr>
    </w:p>
    <w:p w14:paraId="111EEA9E">
      <w:pPr>
        <w:rPr>
          <w:rFonts w:ascii="宋体" w:hAnsi="宋体" w:cs="宋体"/>
          <w:color w:val="auto"/>
          <w:kern w:val="0"/>
          <w:sz w:val="24"/>
          <w:highlight w:val="none"/>
        </w:rPr>
      </w:pPr>
    </w:p>
    <w:p w14:paraId="0B2C9693">
      <w:pPr>
        <w:pStyle w:val="10"/>
        <w:rPr>
          <w:rFonts w:ascii="宋体" w:hAnsi="宋体" w:cs="宋体"/>
          <w:color w:val="auto"/>
          <w:kern w:val="0"/>
          <w:sz w:val="24"/>
          <w:highlight w:val="none"/>
        </w:rPr>
      </w:pPr>
    </w:p>
    <w:p w14:paraId="14203212">
      <w:pPr>
        <w:rPr>
          <w:rFonts w:ascii="宋体" w:hAnsi="宋体" w:cs="宋体"/>
          <w:color w:val="auto"/>
          <w:kern w:val="0"/>
          <w:sz w:val="24"/>
          <w:highlight w:val="none"/>
        </w:rPr>
      </w:pPr>
    </w:p>
    <w:p w14:paraId="318108EC">
      <w:pPr>
        <w:pStyle w:val="10"/>
        <w:rPr>
          <w:rFonts w:ascii="宋体" w:hAnsi="宋体" w:cs="宋体"/>
          <w:color w:val="auto"/>
          <w:kern w:val="0"/>
          <w:sz w:val="24"/>
          <w:highlight w:val="none"/>
        </w:rPr>
      </w:pPr>
    </w:p>
    <w:p w14:paraId="04ADFAF1">
      <w:pPr>
        <w:rPr>
          <w:rFonts w:ascii="宋体" w:hAnsi="宋体" w:cs="宋体"/>
          <w:color w:val="auto"/>
          <w:kern w:val="0"/>
          <w:sz w:val="24"/>
          <w:highlight w:val="none"/>
        </w:rPr>
      </w:pPr>
    </w:p>
    <w:p w14:paraId="6F361636">
      <w:pPr>
        <w:pStyle w:val="10"/>
        <w:rPr>
          <w:rFonts w:ascii="宋体" w:hAnsi="宋体" w:cs="宋体"/>
          <w:color w:val="auto"/>
          <w:kern w:val="0"/>
          <w:sz w:val="24"/>
          <w:highlight w:val="none"/>
        </w:rPr>
      </w:pPr>
    </w:p>
    <w:p w14:paraId="3527B43D">
      <w:pPr>
        <w:rPr>
          <w:rFonts w:ascii="宋体" w:hAnsi="宋体" w:cs="宋体"/>
          <w:color w:val="auto"/>
          <w:kern w:val="0"/>
          <w:sz w:val="24"/>
          <w:highlight w:val="none"/>
        </w:rPr>
      </w:pPr>
    </w:p>
    <w:p w14:paraId="2D69E3D4">
      <w:pPr>
        <w:pStyle w:val="10"/>
        <w:rPr>
          <w:rFonts w:ascii="宋体" w:hAnsi="宋体" w:cs="宋体"/>
          <w:color w:val="auto"/>
          <w:kern w:val="0"/>
          <w:sz w:val="24"/>
          <w:highlight w:val="none"/>
        </w:rPr>
      </w:pPr>
    </w:p>
    <w:p w14:paraId="40ECC119">
      <w:pPr>
        <w:rPr>
          <w:rFonts w:ascii="宋体" w:hAnsi="宋体" w:cs="宋体"/>
          <w:color w:val="auto"/>
          <w:kern w:val="0"/>
          <w:sz w:val="24"/>
          <w:highlight w:val="none"/>
        </w:rPr>
      </w:pPr>
    </w:p>
    <w:p w14:paraId="29FE3347">
      <w:pPr>
        <w:pStyle w:val="10"/>
        <w:rPr>
          <w:rFonts w:ascii="宋体" w:hAnsi="宋体" w:cs="宋体"/>
          <w:color w:val="auto"/>
          <w:kern w:val="0"/>
          <w:sz w:val="24"/>
          <w:highlight w:val="none"/>
        </w:rPr>
      </w:pPr>
    </w:p>
    <w:p w14:paraId="440E2858">
      <w:pPr>
        <w:rPr>
          <w:rFonts w:ascii="宋体" w:hAnsi="宋体" w:cs="宋体"/>
          <w:color w:val="auto"/>
          <w:kern w:val="0"/>
          <w:sz w:val="24"/>
          <w:highlight w:val="none"/>
        </w:rPr>
      </w:pPr>
    </w:p>
    <w:p w14:paraId="32C9FC8C">
      <w:pPr>
        <w:pStyle w:val="10"/>
        <w:rPr>
          <w:rFonts w:ascii="宋体" w:hAnsi="宋体" w:cs="宋体"/>
          <w:color w:val="auto"/>
          <w:kern w:val="0"/>
          <w:sz w:val="24"/>
          <w:highlight w:val="none"/>
        </w:rPr>
      </w:pPr>
    </w:p>
    <w:p w14:paraId="2B86C991">
      <w:pPr>
        <w:rPr>
          <w:rFonts w:ascii="宋体" w:hAnsi="宋体" w:cs="宋体"/>
          <w:color w:val="auto"/>
          <w:kern w:val="0"/>
          <w:sz w:val="24"/>
          <w:highlight w:val="none"/>
        </w:rPr>
      </w:pPr>
    </w:p>
    <w:p w14:paraId="58DC8C0F">
      <w:pPr>
        <w:pStyle w:val="10"/>
        <w:rPr>
          <w:rFonts w:ascii="宋体" w:hAnsi="宋体" w:cs="宋体"/>
          <w:color w:val="auto"/>
          <w:kern w:val="0"/>
          <w:sz w:val="24"/>
          <w:highlight w:val="none"/>
        </w:rPr>
      </w:pPr>
    </w:p>
    <w:p w14:paraId="7ECE735F">
      <w:pPr>
        <w:rPr>
          <w:rFonts w:ascii="宋体" w:hAnsi="宋体" w:cs="宋体"/>
          <w:color w:val="auto"/>
          <w:kern w:val="0"/>
          <w:sz w:val="24"/>
          <w:highlight w:val="none"/>
        </w:rPr>
      </w:pPr>
    </w:p>
    <w:p w14:paraId="25C9FBA3">
      <w:pPr>
        <w:pStyle w:val="10"/>
        <w:rPr>
          <w:rFonts w:ascii="宋体" w:hAnsi="宋体" w:cs="宋体"/>
          <w:color w:val="auto"/>
          <w:kern w:val="0"/>
          <w:sz w:val="24"/>
          <w:highlight w:val="none"/>
        </w:rPr>
      </w:pPr>
    </w:p>
    <w:p w14:paraId="162F8EC5">
      <w:pPr>
        <w:rPr>
          <w:rFonts w:ascii="宋体" w:hAnsi="宋体" w:cs="宋体"/>
          <w:color w:val="auto"/>
          <w:kern w:val="0"/>
          <w:sz w:val="24"/>
          <w:highlight w:val="none"/>
        </w:rPr>
      </w:pPr>
    </w:p>
    <w:p w14:paraId="60CC7533">
      <w:pPr>
        <w:pStyle w:val="3"/>
        <w:jc w:val="center"/>
        <w:rPr>
          <w:rFonts w:hint="eastAsia"/>
          <w:color w:val="auto"/>
          <w:sz w:val="44"/>
          <w:szCs w:val="44"/>
          <w:highlight w:val="none"/>
        </w:rPr>
      </w:pPr>
      <w:r>
        <w:rPr>
          <w:rFonts w:hint="eastAsia"/>
          <w:color w:val="auto"/>
          <w:sz w:val="44"/>
          <w:szCs w:val="44"/>
          <w:highlight w:val="none"/>
        </w:rPr>
        <w:t>采购合同</w:t>
      </w:r>
    </w:p>
    <w:p w14:paraId="7EFE101A">
      <w:pPr>
        <w:pStyle w:val="3"/>
        <w:jc w:val="center"/>
        <w:rPr>
          <w:rFonts w:hint="eastAsia"/>
          <w:color w:val="auto"/>
          <w:highlight w:val="none"/>
        </w:rPr>
      </w:pPr>
    </w:p>
    <w:p w14:paraId="531BB00D">
      <w:pPr>
        <w:pStyle w:val="3"/>
        <w:jc w:val="center"/>
        <w:rPr>
          <w:rFonts w:hint="eastAsia"/>
          <w:color w:val="auto"/>
          <w:highlight w:val="none"/>
        </w:rPr>
      </w:pPr>
    </w:p>
    <w:p w14:paraId="1CBD441C">
      <w:pPr>
        <w:pStyle w:val="3"/>
        <w:ind w:firstLine="540" w:firstLineChars="180"/>
        <w:rPr>
          <w:rFonts w:hint="eastAsia"/>
          <w:color w:val="auto"/>
          <w:sz w:val="30"/>
          <w:szCs w:val="30"/>
          <w:highlight w:val="none"/>
          <w:u w:val="single"/>
        </w:rPr>
      </w:pPr>
      <w:r>
        <w:rPr>
          <w:rFonts w:hint="eastAsia"/>
          <w:color w:val="auto"/>
          <w:sz w:val="30"/>
          <w:szCs w:val="30"/>
          <w:highlight w:val="none"/>
        </w:rPr>
        <w:t>项目名称：</w:t>
      </w:r>
      <w:r>
        <w:rPr>
          <w:rFonts w:hint="eastAsia"/>
          <w:color w:val="auto"/>
          <w:sz w:val="30"/>
          <w:szCs w:val="30"/>
          <w:highlight w:val="none"/>
          <w:u w:val="single"/>
        </w:rPr>
        <w:t xml:space="preserve">                                          </w:t>
      </w:r>
    </w:p>
    <w:p w14:paraId="47C3B548">
      <w:pPr>
        <w:pStyle w:val="3"/>
        <w:ind w:firstLine="540" w:firstLineChars="180"/>
        <w:rPr>
          <w:rFonts w:hint="eastAsia"/>
          <w:color w:val="auto"/>
          <w:sz w:val="30"/>
          <w:szCs w:val="30"/>
          <w:highlight w:val="none"/>
          <w:u w:val="single"/>
        </w:rPr>
      </w:pPr>
      <w:r>
        <w:rPr>
          <w:rFonts w:hint="eastAsia"/>
          <w:color w:val="auto"/>
          <w:sz w:val="30"/>
          <w:szCs w:val="30"/>
          <w:highlight w:val="none"/>
        </w:rPr>
        <w:t>项目编号：</w:t>
      </w:r>
      <w:r>
        <w:rPr>
          <w:rFonts w:hint="eastAsia"/>
          <w:color w:val="auto"/>
          <w:sz w:val="30"/>
          <w:szCs w:val="30"/>
          <w:highlight w:val="none"/>
          <w:u w:val="single"/>
        </w:rPr>
        <w:t xml:space="preserve">                                           </w:t>
      </w:r>
    </w:p>
    <w:p w14:paraId="2FC76C38">
      <w:pPr>
        <w:ind w:firstLine="1245" w:firstLineChars="593"/>
        <w:rPr>
          <w:rFonts w:hint="eastAsia"/>
          <w:color w:val="auto"/>
          <w:highlight w:val="none"/>
          <w:u w:val="single"/>
        </w:rPr>
      </w:pPr>
    </w:p>
    <w:p w14:paraId="5404A178">
      <w:pPr>
        <w:pStyle w:val="3"/>
        <w:jc w:val="center"/>
        <w:rPr>
          <w:rFonts w:hint="eastAsia"/>
          <w:bCs/>
          <w:color w:val="auto"/>
          <w:highlight w:val="none"/>
        </w:rPr>
      </w:pPr>
    </w:p>
    <w:p w14:paraId="0F320495">
      <w:pPr>
        <w:pStyle w:val="3"/>
        <w:jc w:val="center"/>
        <w:rPr>
          <w:rFonts w:hint="eastAsia"/>
          <w:bCs/>
          <w:color w:val="auto"/>
          <w:highlight w:val="none"/>
        </w:rPr>
      </w:pPr>
    </w:p>
    <w:p w14:paraId="497FDAE7">
      <w:pPr>
        <w:pStyle w:val="3"/>
        <w:jc w:val="center"/>
        <w:rPr>
          <w:rFonts w:hint="eastAsia"/>
          <w:bCs/>
          <w:color w:val="auto"/>
          <w:highlight w:val="none"/>
        </w:rPr>
      </w:pPr>
    </w:p>
    <w:p w14:paraId="2441C908">
      <w:pPr>
        <w:pStyle w:val="3"/>
        <w:jc w:val="center"/>
        <w:rPr>
          <w:rFonts w:hint="eastAsia"/>
          <w:bCs/>
          <w:color w:val="auto"/>
          <w:highlight w:val="none"/>
        </w:rPr>
      </w:pPr>
    </w:p>
    <w:p w14:paraId="15A62CFD">
      <w:pPr>
        <w:pStyle w:val="3"/>
        <w:jc w:val="center"/>
        <w:rPr>
          <w:rFonts w:hint="eastAsia"/>
          <w:bCs/>
          <w:color w:val="auto"/>
          <w:highlight w:val="none"/>
        </w:rPr>
      </w:pPr>
    </w:p>
    <w:p w14:paraId="112D2A71">
      <w:pPr>
        <w:pStyle w:val="3"/>
        <w:jc w:val="center"/>
        <w:rPr>
          <w:rFonts w:hint="eastAsia"/>
          <w:bCs/>
          <w:color w:val="auto"/>
          <w:highlight w:val="none"/>
        </w:rPr>
      </w:pPr>
    </w:p>
    <w:p w14:paraId="2AC2DCCF">
      <w:pPr>
        <w:pStyle w:val="3"/>
        <w:jc w:val="center"/>
        <w:rPr>
          <w:rFonts w:hint="eastAsia"/>
          <w:bCs/>
          <w:color w:val="auto"/>
          <w:highlight w:val="none"/>
        </w:rPr>
      </w:pPr>
    </w:p>
    <w:p w14:paraId="0E7DF71D">
      <w:pPr>
        <w:pStyle w:val="3"/>
        <w:jc w:val="center"/>
        <w:rPr>
          <w:rFonts w:hint="eastAsia"/>
          <w:bCs/>
          <w:color w:val="auto"/>
          <w:highlight w:val="none"/>
        </w:rPr>
      </w:pPr>
    </w:p>
    <w:p w14:paraId="76506409">
      <w:pPr>
        <w:pStyle w:val="3"/>
        <w:jc w:val="center"/>
        <w:rPr>
          <w:rFonts w:hint="eastAsia"/>
          <w:bCs/>
          <w:color w:val="auto"/>
          <w:highlight w:val="none"/>
        </w:rPr>
      </w:pPr>
    </w:p>
    <w:p w14:paraId="2934FB89">
      <w:pPr>
        <w:pStyle w:val="3"/>
        <w:jc w:val="center"/>
        <w:rPr>
          <w:rFonts w:hint="eastAsia"/>
          <w:bCs/>
          <w:color w:val="auto"/>
          <w:highlight w:val="none"/>
        </w:rPr>
      </w:pPr>
    </w:p>
    <w:p w14:paraId="500CDE9A">
      <w:pPr>
        <w:pStyle w:val="3"/>
        <w:jc w:val="center"/>
        <w:rPr>
          <w:rFonts w:hint="eastAsia"/>
          <w:bCs/>
          <w:color w:val="auto"/>
          <w:highlight w:val="none"/>
        </w:rPr>
      </w:pPr>
    </w:p>
    <w:p w14:paraId="48D64AA8">
      <w:pPr>
        <w:pStyle w:val="3"/>
        <w:jc w:val="center"/>
        <w:rPr>
          <w:rFonts w:hint="eastAsia"/>
          <w:bCs/>
          <w:color w:val="auto"/>
          <w:highlight w:val="none"/>
        </w:rPr>
      </w:pPr>
    </w:p>
    <w:p w14:paraId="4225E332">
      <w:pPr>
        <w:pStyle w:val="3"/>
        <w:spacing w:line="600" w:lineRule="auto"/>
        <w:ind w:firstLine="1920" w:firstLineChars="600"/>
        <w:rPr>
          <w:rFonts w:hint="eastAsia"/>
          <w:color w:val="auto"/>
          <w:highlight w:val="none"/>
          <w:u w:val="single"/>
        </w:rPr>
      </w:pPr>
      <w:r>
        <w:rPr>
          <w:rFonts w:hint="eastAsia"/>
          <w:bCs/>
          <w:color w:val="auto"/>
          <w:highlight w:val="none"/>
        </w:rPr>
        <w:t xml:space="preserve">采购人： </w:t>
      </w:r>
      <w:r>
        <w:rPr>
          <w:rFonts w:hint="eastAsia"/>
          <w:color w:val="auto"/>
          <w:highlight w:val="none"/>
          <w:u w:val="single"/>
        </w:rPr>
        <w:t xml:space="preserve">                     </w:t>
      </w:r>
    </w:p>
    <w:p w14:paraId="0EBD10B1">
      <w:pPr>
        <w:pStyle w:val="3"/>
        <w:spacing w:line="600" w:lineRule="auto"/>
        <w:ind w:firstLine="1920" w:firstLineChars="600"/>
        <w:rPr>
          <w:rFonts w:hint="eastAsia"/>
          <w:color w:val="auto"/>
          <w:highlight w:val="none"/>
          <w:u w:val="single"/>
        </w:rPr>
      </w:pPr>
      <w:r>
        <w:rPr>
          <w:rFonts w:hint="eastAsia"/>
          <w:color w:val="auto"/>
          <w:highlight w:val="none"/>
        </w:rPr>
        <w:t>供货方：</w:t>
      </w:r>
      <w:r>
        <w:rPr>
          <w:rFonts w:hint="eastAsia"/>
          <w:color w:val="auto"/>
          <w:highlight w:val="none"/>
          <w:u w:val="single"/>
        </w:rPr>
        <w:t xml:space="preserve">                      </w:t>
      </w:r>
    </w:p>
    <w:p w14:paraId="2DDF73B4">
      <w:pPr>
        <w:pStyle w:val="3"/>
        <w:jc w:val="center"/>
        <w:rPr>
          <w:b/>
          <w:bCs/>
          <w:color w:val="auto"/>
          <w:highlight w:val="none"/>
        </w:rPr>
      </w:pPr>
      <w:r>
        <w:rPr>
          <w:b/>
          <w:color w:val="auto"/>
          <w:highlight w:val="none"/>
        </w:rPr>
        <w:br w:type="page"/>
      </w:r>
      <w:r>
        <w:rPr>
          <w:rFonts w:hint="eastAsia"/>
          <w:b/>
          <w:color w:val="auto"/>
          <w:highlight w:val="none"/>
        </w:rPr>
        <w:t>采</w:t>
      </w:r>
      <w:r>
        <w:rPr>
          <w:rFonts w:hint="eastAsia"/>
          <w:b/>
          <w:bCs/>
          <w:color w:val="auto"/>
          <w:highlight w:val="none"/>
        </w:rPr>
        <w:t>购合同</w:t>
      </w:r>
    </w:p>
    <w:p w14:paraId="3B672278">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签订地点：</w:t>
      </w:r>
    </w:p>
    <w:p w14:paraId="106D8F32">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                                签订时间：   年   月   日</w:t>
      </w:r>
    </w:p>
    <w:p w14:paraId="29A3451C">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p>
    <w:p w14:paraId="021AC32E">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成交供应商：</w:t>
      </w:r>
    </w:p>
    <w:p w14:paraId="37FF1822">
      <w:pPr>
        <w:keepNext w:val="0"/>
        <w:keepLines w:val="0"/>
        <w:pageBreakBefore w:val="0"/>
        <w:widowControl w:val="0"/>
        <w:numPr>
          <w:ilvl w:val="0"/>
          <w:numId w:val="0"/>
        </w:numPr>
        <w:tabs>
          <w:tab w:val="left" w:pos="315"/>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双方根据政府采购有关法律法规和</w:t>
      </w:r>
      <w:r>
        <w:rPr>
          <w:rFonts w:hint="eastAsia" w:ascii="宋体" w:hAnsi="宋体" w:eastAsia="宋体" w:cs="宋体"/>
          <w:color w:val="auto"/>
          <w:sz w:val="24"/>
          <w:highlight w:val="none"/>
          <w:lang w:eastAsia="zh-CN"/>
        </w:rPr>
        <w:t>民法典</w:t>
      </w:r>
      <w:r>
        <w:rPr>
          <w:rFonts w:hint="eastAsia" w:ascii="宋体" w:hAnsi="宋体" w:eastAsia="宋体" w:cs="宋体"/>
          <w:color w:val="auto"/>
          <w:sz w:val="24"/>
          <w:highlight w:val="none"/>
        </w:rPr>
        <w:t>及</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项目磋商结果，订立本采购合同。</w:t>
      </w:r>
    </w:p>
    <w:p w14:paraId="1B3ED68C">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2" w:firstLineChars="200"/>
        <w:jc w:val="both"/>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一、合同文件：</w:t>
      </w:r>
    </w:p>
    <w:p w14:paraId="0B1805EE">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1、合同条款。</w:t>
      </w:r>
    </w:p>
    <w:p w14:paraId="694D69BE">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2、成交通知书。</w:t>
      </w:r>
    </w:p>
    <w:p w14:paraId="2DD55E10">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3、磋商响应文件。</w:t>
      </w:r>
    </w:p>
    <w:p w14:paraId="2914C99B">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4、磋商文件。</w:t>
      </w:r>
    </w:p>
    <w:p w14:paraId="1E98F2CB">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w:t>
      </w:r>
    </w:p>
    <w:p w14:paraId="15315D5A">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上述所指合同文件应认为是互相补充和解释的，但是有模棱两可或互相矛盾之处，以其所列内容顺序为准。</w:t>
      </w:r>
    </w:p>
    <w:p w14:paraId="663F4CC6">
      <w:pPr>
        <w:keepNext w:val="0"/>
        <w:keepLines w:val="0"/>
        <w:pageBreakBefore w:val="0"/>
        <w:widowControl w:val="0"/>
        <w:numPr>
          <w:ilvl w:val="0"/>
          <w:numId w:val="0"/>
        </w:numPr>
        <w:tabs>
          <w:tab w:val="left" w:pos="315"/>
        </w:tabs>
        <w:kinsoku/>
        <w:wordWrap/>
        <w:overflowPunct/>
        <w:topLinePunct w:val="0"/>
        <w:autoSpaceDE/>
        <w:autoSpaceDN/>
        <w:bidi w:val="0"/>
        <w:adjustRightInd/>
        <w:snapToGrid/>
        <w:spacing w:line="520" w:lineRule="exact"/>
        <w:ind w:left="0" w:leftChars="0" w:right="0" w:rightChars="0" w:firstLine="482"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b/>
          <w:bCs/>
          <w:color w:val="auto"/>
          <w:kern w:val="2"/>
          <w:sz w:val="24"/>
          <w:szCs w:val="24"/>
          <w:highlight w:val="none"/>
          <w:lang w:val="en-US" w:eastAsia="zh-CN" w:bidi="ar-SA"/>
        </w:rPr>
        <w:t>二、</w:t>
      </w:r>
      <w:r>
        <w:rPr>
          <w:rFonts w:hint="eastAsia" w:ascii="宋体" w:hAnsi="宋体" w:eastAsia="宋体" w:cs="宋体"/>
          <w:b/>
          <w:bCs/>
          <w:color w:val="auto"/>
          <w:sz w:val="24"/>
          <w:highlight w:val="none"/>
        </w:rPr>
        <w:t>合同金额:</w:t>
      </w:r>
      <w:r>
        <w:rPr>
          <w:rFonts w:hint="eastAsia" w:ascii="宋体" w:hAnsi="宋体" w:eastAsia="宋体" w:cs="宋体"/>
          <w:color w:val="auto"/>
          <w:sz w:val="24"/>
          <w:highlight w:val="none"/>
        </w:rPr>
        <w:t xml:space="preserve"> </w:t>
      </w:r>
    </w:p>
    <w:p w14:paraId="4922082E">
      <w:pPr>
        <w:keepNext w:val="0"/>
        <w:keepLines w:val="0"/>
        <w:pageBreakBefore w:val="0"/>
        <w:widowControl w:val="0"/>
        <w:numPr>
          <w:ilvl w:val="0"/>
          <w:numId w:val="0"/>
        </w:numPr>
        <w:tabs>
          <w:tab w:val="left" w:pos="315"/>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本项目为“交钥匙”项目，磋商响应方的报价应是实施、完成本采购项目以及履行磋商文件中约定的所有责任和义务所发生的全部费用。供应商无论何种原因造成报价各项的遗漏，其风险自担。本项目报价应含</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不限于</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人工费、材料费、机械（清扫、洒水、冲洗）费、设备工具费、农药费、肥料费、养护费、苗木补植费（即养护期间死亡苗木补植的苗木费用）园林有机物无害化处理费、保险、管理费、不可预见费及政策性文件规定及合同包含的所有风险等全部费用。其中，磋商代理服务费应分摊在报价中。</w:t>
      </w:r>
    </w:p>
    <w:p w14:paraId="4A9099E5">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总金额为(大写)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元</w:t>
      </w:r>
      <w:r>
        <w:rPr>
          <w:rFonts w:hint="eastAsia" w:ascii="宋体" w:hAnsi="宋体" w:eastAsia="宋体" w:cs="宋体"/>
          <w:color w:val="auto"/>
          <w:sz w:val="24"/>
          <w:highlight w:val="none"/>
          <w:u w:val="single"/>
          <w:lang w:val="en-US" w:eastAsia="zh-CN"/>
        </w:rPr>
        <w:t>/年</w:t>
      </w: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元</w:t>
      </w:r>
      <w:r>
        <w:rPr>
          <w:rFonts w:hint="eastAsia" w:ascii="宋体" w:hAnsi="宋体" w:eastAsia="宋体" w:cs="宋体"/>
          <w:color w:val="auto"/>
          <w:sz w:val="24"/>
          <w:highlight w:val="none"/>
          <w:u w:val="single"/>
          <w:lang w:val="en-US" w:eastAsia="zh-CN"/>
        </w:rPr>
        <w:t>/年</w:t>
      </w:r>
      <w:r>
        <w:rPr>
          <w:rFonts w:hint="eastAsia" w:ascii="宋体" w:hAnsi="宋体" w:eastAsia="宋体" w:cs="宋体"/>
          <w:color w:val="auto"/>
          <w:sz w:val="24"/>
          <w:highlight w:val="none"/>
        </w:rPr>
        <w:t>。 (以上价款以人民币进行结算)</w:t>
      </w:r>
    </w:p>
    <w:p w14:paraId="0606F72E">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2" w:firstLineChars="200"/>
        <w:jc w:val="both"/>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三、项目情况及养护范围</w:t>
      </w:r>
    </w:p>
    <w:p w14:paraId="1DE93BA1">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1、养护名称：</w:t>
      </w:r>
      <w:r>
        <w:rPr>
          <w:rFonts w:hint="eastAsia" w:ascii="宋体" w:hAnsi="宋体" w:eastAsia="宋体" w:cs="宋体"/>
          <w:color w:val="auto"/>
          <w:sz w:val="24"/>
          <w:highlight w:val="none"/>
          <w:lang w:val="en-US" w:eastAsia="zh-CN"/>
        </w:rPr>
        <w:t xml:space="preserve"> </w:t>
      </w:r>
    </w:p>
    <w:p w14:paraId="6E754F90">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2、具体位置：</w:t>
      </w:r>
      <w:r>
        <w:rPr>
          <w:rFonts w:hint="eastAsia" w:ascii="宋体" w:hAnsi="宋体" w:cs="宋体"/>
          <w:color w:val="auto"/>
          <w:sz w:val="24"/>
          <w:highlight w:val="none"/>
          <w:lang w:eastAsia="zh-CN"/>
        </w:rPr>
        <w:t>邹城市钢山街道邹鲁苑公园</w:t>
      </w:r>
    </w:p>
    <w:p w14:paraId="13FCF398">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3、养护</w:t>
      </w:r>
      <w:r>
        <w:rPr>
          <w:rFonts w:hint="eastAsia" w:ascii="宋体" w:hAnsi="宋体" w:cs="宋体"/>
          <w:color w:val="auto"/>
          <w:sz w:val="24"/>
          <w:highlight w:val="none"/>
          <w:lang w:val="en-US" w:eastAsia="zh-CN"/>
        </w:rPr>
        <w:t>管理服务清单</w:t>
      </w:r>
      <w:r>
        <w:rPr>
          <w:rFonts w:hint="eastAsia" w:ascii="宋体" w:hAnsi="宋体" w:eastAsia="宋体" w:cs="宋体"/>
          <w:color w:val="auto"/>
          <w:sz w:val="24"/>
          <w:highlight w:val="none"/>
        </w:rPr>
        <w:t>：</w:t>
      </w:r>
    </w:p>
    <w:tbl>
      <w:tblPr>
        <w:tblStyle w:val="13"/>
        <w:tblpPr w:leftFromText="180" w:rightFromText="180" w:vertAnchor="text" w:horzAnchor="page" w:tblpXSpec="center" w:tblpY="430"/>
        <w:tblOverlap w:val="never"/>
        <w:tblW w:w="9958" w:type="dxa"/>
        <w:jc w:val="center"/>
        <w:tblLayout w:type="fixed"/>
        <w:tblCellMar>
          <w:top w:w="0" w:type="dxa"/>
          <w:left w:w="0" w:type="dxa"/>
          <w:bottom w:w="0" w:type="dxa"/>
          <w:right w:w="0" w:type="dxa"/>
        </w:tblCellMar>
      </w:tblPr>
      <w:tblGrid>
        <w:gridCol w:w="615"/>
        <w:gridCol w:w="1655"/>
        <w:gridCol w:w="783"/>
        <w:gridCol w:w="934"/>
        <w:gridCol w:w="1866"/>
        <w:gridCol w:w="1555"/>
        <w:gridCol w:w="1695"/>
        <w:gridCol w:w="855"/>
      </w:tblGrid>
      <w:tr w14:paraId="49B22FE2">
        <w:tblPrEx>
          <w:tblCellMar>
            <w:top w:w="0" w:type="dxa"/>
            <w:left w:w="0" w:type="dxa"/>
            <w:bottom w:w="0" w:type="dxa"/>
            <w:right w:w="0" w:type="dxa"/>
          </w:tblCellMar>
        </w:tblPrEx>
        <w:trPr>
          <w:trHeight w:val="46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3871B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序号</w:t>
            </w: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15BC6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bidi="ar"/>
              </w:rPr>
              <w:t>服务项目</w:t>
            </w:r>
          </w:p>
        </w:tc>
        <w:tc>
          <w:tcPr>
            <w:tcW w:w="7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8BE4C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单位</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EB423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bidi="ar"/>
              </w:rPr>
              <w:t>数量</w:t>
            </w:r>
          </w:p>
        </w:tc>
        <w:tc>
          <w:tcPr>
            <w:tcW w:w="186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14F9A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单价</w:t>
            </w:r>
          </w:p>
        </w:tc>
        <w:tc>
          <w:tcPr>
            <w:tcW w:w="15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23A230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养护期（月）</w:t>
            </w:r>
          </w:p>
        </w:tc>
        <w:tc>
          <w:tcPr>
            <w:tcW w:w="1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AC9D9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总</w:t>
            </w:r>
            <w:r>
              <w:rPr>
                <w:rFonts w:hint="eastAsia" w:ascii="宋体" w:hAnsi="宋体" w:eastAsia="宋体" w:cs="宋体"/>
                <w:color w:val="000000"/>
                <w:sz w:val="24"/>
                <w:szCs w:val="24"/>
                <w:highlight w:val="none"/>
                <w:lang w:bidi="ar"/>
              </w:rPr>
              <w:t>价</w:t>
            </w:r>
          </w:p>
        </w:tc>
        <w:tc>
          <w:tcPr>
            <w:tcW w:w="8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A3184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备注</w:t>
            </w:r>
          </w:p>
        </w:tc>
      </w:tr>
      <w:tr w14:paraId="3C40F2A4">
        <w:tblPrEx>
          <w:tblCellMar>
            <w:top w:w="0" w:type="dxa"/>
            <w:left w:w="0" w:type="dxa"/>
            <w:bottom w:w="0" w:type="dxa"/>
            <w:right w:w="0" w:type="dxa"/>
          </w:tblCellMar>
        </w:tblPrEx>
        <w:trPr>
          <w:trHeight w:val="1007" w:hRule="atLeast"/>
          <w:jc w:val="center"/>
        </w:trPr>
        <w:tc>
          <w:tcPr>
            <w:tcW w:w="615" w:type="dxa"/>
            <w:tcBorders>
              <w:top w:val="single" w:color="000000" w:sz="4" w:space="0"/>
              <w:left w:val="single" w:color="000000" w:sz="4" w:space="0"/>
              <w:right w:val="single" w:color="000000" w:sz="4" w:space="0"/>
            </w:tcBorders>
            <w:shd w:val="clear" w:color="auto" w:fill="FFFFFF"/>
            <w:noWrap w:val="0"/>
            <w:tcMar>
              <w:top w:w="12" w:type="dxa"/>
              <w:left w:w="12" w:type="dxa"/>
              <w:right w:w="12" w:type="dxa"/>
            </w:tcMar>
            <w:vAlign w:val="center"/>
          </w:tcPr>
          <w:p w14:paraId="73AEA9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1</w:t>
            </w:r>
          </w:p>
        </w:tc>
        <w:tc>
          <w:tcPr>
            <w:tcW w:w="1655" w:type="dxa"/>
            <w:tcBorders>
              <w:top w:val="single" w:color="000000" w:sz="4" w:space="0"/>
              <w:left w:val="single" w:color="000000" w:sz="4" w:space="0"/>
              <w:right w:val="single" w:color="000000" w:sz="4" w:space="0"/>
            </w:tcBorders>
            <w:shd w:val="clear" w:color="auto" w:fill="FFFFFF"/>
            <w:noWrap w:val="0"/>
            <w:tcMar>
              <w:top w:w="12" w:type="dxa"/>
              <w:left w:w="12" w:type="dxa"/>
              <w:right w:w="12" w:type="dxa"/>
            </w:tcMar>
            <w:vAlign w:val="center"/>
          </w:tcPr>
          <w:p w14:paraId="73BD9E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bidi="ar"/>
              </w:rPr>
              <w:t>绿化养护服务</w:t>
            </w:r>
          </w:p>
        </w:tc>
        <w:tc>
          <w:tcPr>
            <w:tcW w:w="783" w:type="dxa"/>
            <w:tcBorders>
              <w:top w:val="single" w:color="000000" w:sz="4" w:space="0"/>
              <w:left w:val="single" w:color="000000" w:sz="4" w:space="0"/>
              <w:right w:val="single" w:color="000000" w:sz="4" w:space="0"/>
            </w:tcBorders>
            <w:shd w:val="clear" w:color="auto" w:fill="FFFFFF"/>
            <w:noWrap w:val="0"/>
            <w:tcMar>
              <w:top w:w="12" w:type="dxa"/>
              <w:left w:w="12" w:type="dxa"/>
              <w:right w:w="12" w:type="dxa"/>
            </w:tcMar>
            <w:vAlign w:val="center"/>
          </w:tcPr>
          <w:p w14:paraId="0F37DE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m2</w:t>
            </w:r>
          </w:p>
        </w:tc>
        <w:tc>
          <w:tcPr>
            <w:tcW w:w="934" w:type="dxa"/>
            <w:tcBorders>
              <w:top w:val="single" w:color="000000" w:sz="4" w:space="0"/>
              <w:left w:val="single" w:color="000000" w:sz="4" w:space="0"/>
              <w:right w:val="single" w:color="000000" w:sz="4" w:space="0"/>
            </w:tcBorders>
            <w:shd w:val="clear" w:color="auto" w:fill="FFFFFF"/>
            <w:noWrap w:val="0"/>
            <w:tcMar>
              <w:top w:w="12" w:type="dxa"/>
              <w:left w:w="12" w:type="dxa"/>
              <w:right w:w="12" w:type="dxa"/>
            </w:tcMar>
            <w:vAlign w:val="center"/>
          </w:tcPr>
          <w:p w14:paraId="34CDCC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44212</w:t>
            </w:r>
          </w:p>
        </w:tc>
        <w:tc>
          <w:tcPr>
            <w:tcW w:w="1866" w:type="dxa"/>
            <w:tcBorders>
              <w:top w:val="single" w:color="000000" w:sz="4" w:space="0"/>
              <w:left w:val="single" w:color="000000" w:sz="4" w:space="0"/>
              <w:right w:val="single" w:color="000000" w:sz="4" w:space="0"/>
            </w:tcBorders>
            <w:shd w:val="clear" w:color="auto" w:fill="FFFFFF"/>
            <w:noWrap w:val="0"/>
            <w:tcMar>
              <w:top w:w="12" w:type="dxa"/>
              <w:left w:w="12" w:type="dxa"/>
              <w:right w:w="12" w:type="dxa"/>
            </w:tcMar>
            <w:vAlign w:val="center"/>
          </w:tcPr>
          <w:p w14:paraId="79E587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元/</w:t>
            </w:r>
            <w:r>
              <w:rPr>
                <w:rFonts w:hint="eastAsia" w:ascii="宋体" w:hAnsi="宋体" w:eastAsia="宋体" w:cs="宋体"/>
                <w:color w:val="000000"/>
                <w:sz w:val="24"/>
                <w:szCs w:val="24"/>
                <w:highlight w:val="none"/>
                <w:lang w:bidi="ar"/>
              </w:rPr>
              <w:t>m2</w:t>
            </w:r>
            <w:r>
              <w:rPr>
                <w:rFonts w:hint="eastAsia" w:ascii="宋体" w:hAnsi="宋体" w:eastAsia="宋体" w:cs="宋体"/>
                <w:color w:val="000000"/>
                <w:sz w:val="24"/>
                <w:szCs w:val="24"/>
                <w:highlight w:val="none"/>
                <w:lang w:val="en-US" w:eastAsia="zh-CN"/>
              </w:rPr>
              <w:t>/月</w:t>
            </w:r>
          </w:p>
        </w:tc>
        <w:tc>
          <w:tcPr>
            <w:tcW w:w="15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75A9BB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szCs w:val="24"/>
                <w:highlight w:val="none"/>
                <w:u w:val="single"/>
                <w:lang w:val="en-US" w:eastAsia="zh-CN"/>
              </w:rPr>
            </w:pPr>
            <w:r>
              <w:rPr>
                <w:rFonts w:hint="eastAsia" w:ascii="宋体" w:hAnsi="宋体" w:cs="宋体"/>
                <w:color w:val="000000"/>
                <w:sz w:val="24"/>
                <w:szCs w:val="24"/>
                <w:highlight w:val="none"/>
                <w:u w:val="single"/>
                <w:lang w:val="en-US" w:eastAsia="zh-CN"/>
              </w:rPr>
              <w:t>12</w:t>
            </w:r>
          </w:p>
        </w:tc>
        <w:tc>
          <w:tcPr>
            <w:tcW w:w="1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2BA7D28">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元/年</w:t>
            </w:r>
          </w:p>
        </w:tc>
        <w:tc>
          <w:tcPr>
            <w:tcW w:w="8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87F4F3D">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highlight w:val="none"/>
              </w:rPr>
            </w:pPr>
          </w:p>
        </w:tc>
      </w:tr>
      <w:tr w14:paraId="750086E5">
        <w:tblPrEx>
          <w:tblCellMar>
            <w:top w:w="0" w:type="dxa"/>
            <w:left w:w="0" w:type="dxa"/>
            <w:bottom w:w="0" w:type="dxa"/>
            <w:right w:w="0" w:type="dxa"/>
          </w:tblCellMar>
        </w:tblPrEx>
        <w:trPr>
          <w:trHeight w:val="1007" w:hRule="atLeast"/>
          <w:jc w:val="center"/>
        </w:trPr>
        <w:tc>
          <w:tcPr>
            <w:tcW w:w="615" w:type="dxa"/>
            <w:tcBorders>
              <w:top w:val="single" w:color="000000" w:sz="4" w:space="0"/>
              <w:left w:val="single" w:color="000000" w:sz="4" w:space="0"/>
              <w:right w:val="single" w:color="000000" w:sz="4" w:space="0"/>
            </w:tcBorders>
            <w:shd w:val="clear" w:color="auto" w:fill="FFFFFF"/>
            <w:noWrap w:val="0"/>
            <w:tcMar>
              <w:top w:w="12" w:type="dxa"/>
              <w:left w:w="12" w:type="dxa"/>
              <w:right w:w="12" w:type="dxa"/>
            </w:tcMar>
            <w:vAlign w:val="center"/>
          </w:tcPr>
          <w:p w14:paraId="4AB56C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2</w:t>
            </w:r>
          </w:p>
        </w:tc>
        <w:tc>
          <w:tcPr>
            <w:tcW w:w="1655" w:type="dxa"/>
            <w:tcBorders>
              <w:top w:val="single" w:color="000000" w:sz="4" w:space="0"/>
              <w:left w:val="single" w:color="000000" w:sz="4" w:space="0"/>
              <w:right w:val="single" w:color="000000" w:sz="4" w:space="0"/>
            </w:tcBorders>
            <w:shd w:val="clear" w:color="auto" w:fill="FFFFFF"/>
            <w:noWrap w:val="0"/>
            <w:tcMar>
              <w:top w:w="12" w:type="dxa"/>
              <w:left w:w="12" w:type="dxa"/>
              <w:right w:w="12" w:type="dxa"/>
            </w:tcMar>
            <w:vAlign w:val="center"/>
          </w:tcPr>
          <w:p w14:paraId="1308EB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保洁服务</w:t>
            </w:r>
          </w:p>
        </w:tc>
        <w:tc>
          <w:tcPr>
            <w:tcW w:w="783" w:type="dxa"/>
            <w:tcBorders>
              <w:top w:val="single" w:color="000000" w:sz="4" w:space="0"/>
              <w:left w:val="single" w:color="000000" w:sz="4" w:space="0"/>
              <w:right w:val="single" w:color="000000" w:sz="4" w:space="0"/>
            </w:tcBorders>
            <w:shd w:val="clear" w:color="auto" w:fill="FFFFFF"/>
            <w:noWrap w:val="0"/>
            <w:tcMar>
              <w:top w:w="12" w:type="dxa"/>
              <w:left w:w="12" w:type="dxa"/>
              <w:right w:w="12" w:type="dxa"/>
            </w:tcMar>
            <w:vAlign w:val="center"/>
          </w:tcPr>
          <w:p w14:paraId="18A77D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人</w:t>
            </w:r>
          </w:p>
        </w:tc>
        <w:tc>
          <w:tcPr>
            <w:tcW w:w="934" w:type="dxa"/>
            <w:tcBorders>
              <w:top w:val="single" w:color="000000" w:sz="4" w:space="0"/>
              <w:left w:val="single" w:color="000000" w:sz="4" w:space="0"/>
              <w:right w:val="single" w:color="000000" w:sz="4" w:space="0"/>
            </w:tcBorders>
            <w:shd w:val="clear" w:color="auto" w:fill="FFFFFF"/>
            <w:noWrap w:val="0"/>
            <w:tcMar>
              <w:top w:w="12" w:type="dxa"/>
              <w:left w:w="12" w:type="dxa"/>
              <w:right w:w="12" w:type="dxa"/>
            </w:tcMar>
            <w:vAlign w:val="center"/>
          </w:tcPr>
          <w:p w14:paraId="7A3537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p>
        </w:tc>
        <w:tc>
          <w:tcPr>
            <w:tcW w:w="1866" w:type="dxa"/>
            <w:tcBorders>
              <w:top w:val="single" w:color="000000" w:sz="4" w:space="0"/>
              <w:left w:val="single" w:color="000000" w:sz="4" w:space="0"/>
              <w:right w:val="single" w:color="000000" w:sz="4" w:space="0"/>
            </w:tcBorders>
            <w:shd w:val="clear" w:color="auto" w:fill="FFFFFF"/>
            <w:noWrap w:val="0"/>
            <w:tcMar>
              <w:top w:w="12" w:type="dxa"/>
              <w:left w:w="12" w:type="dxa"/>
              <w:right w:w="12" w:type="dxa"/>
            </w:tcMar>
            <w:vAlign w:val="center"/>
          </w:tcPr>
          <w:p w14:paraId="3602AC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元/人/月</w:t>
            </w:r>
          </w:p>
        </w:tc>
        <w:tc>
          <w:tcPr>
            <w:tcW w:w="15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31D8B5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szCs w:val="24"/>
                <w:highlight w:val="none"/>
                <w:u w:val="single"/>
                <w:lang w:val="en-US" w:eastAsia="zh-CN"/>
              </w:rPr>
            </w:pPr>
            <w:r>
              <w:rPr>
                <w:rFonts w:hint="eastAsia" w:ascii="宋体" w:hAnsi="宋体" w:cs="宋体"/>
                <w:color w:val="000000"/>
                <w:sz w:val="24"/>
                <w:szCs w:val="24"/>
                <w:highlight w:val="none"/>
                <w:u w:val="single"/>
                <w:lang w:val="en-US" w:eastAsia="zh-CN"/>
              </w:rPr>
              <w:t>12</w:t>
            </w:r>
          </w:p>
        </w:tc>
        <w:tc>
          <w:tcPr>
            <w:tcW w:w="1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09AE507">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元/年</w:t>
            </w:r>
          </w:p>
        </w:tc>
        <w:tc>
          <w:tcPr>
            <w:tcW w:w="8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60056C9">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highlight w:val="none"/>
              </w:rPr>
            </w:pPr>
          </w:p>
        </w:tc>
      </w:tr>
      <w:tr w14:paraId="0ECA0952">
        <w:tblPrEx>
          <w:tblCellMar>
            <w:top w:w="0" w:type="dxa"/>
            <w:left w:w="0" w:type="dxa"/>
            <w:bottom w:w="0" w:type="dxa"/>
            <w:right w:w="0" w:type="dxa"/>
          </w:tblCellMar>
        </w:tblPrEx>
        <w:trPr>
          <w:trHeight w:val="1007" w:hRule="atLeast"/>
          <w:jc w:val="center"/>
        </w:trPr>
        <w:tc>
          <w:tcPr>
            <w:tcW w:w="615" w:type="dxa"/>
            <w:tcBorders>
              <w:top w:val="single" w:color="000000" w:sz="4" w:space="0"/>
              <w:left w:val="single" w:color="000000" w:sz="4" w:space="0"/>
              <w:right w:val="single" w:color="000000" w:sz="4" w:space="0"/>
            </w:tcBorders>
            <w:shd w:val="clear" w:color="auto" w:fill="FFFFFF"/>
            <w:noWrap w:val="0"/>
            <w:tcMar>
              <w:top w:w="12" w:type="dxa"/>
              <w:left w:w="12" w:type="dxa"/>
              <w:right w:w="12" w:type="dxa"/>
            </w:tcMar>
            <w:vAlign w:val="center"/>
          </w:tcPr>
          <w:p w14:paraId="51D22C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3</w:t>
            </w:r>
          </w:p>
        </w:tc>
        <w:tc>
          <w:tcPr>
            <w:tcW w:w="1655" w:type="dxa"/>
            <w:tcBorders>
              <w:top w:val="single" w:color="000000" w:sz="4" w:space="0"/>
              <w:left w:val="single" w:color="000000" w:sz="4" w:space="0"/>
              <w:right w:val="single" w:color="000000" w:sz="4" w:space="0"/>
            </w:tcBorders>
            <w:shd w:val="clear" w:color="auto" w:fill="FFFFFF"/>
            <w:noWrap w:val="0"/>
            <w:tcMar>
              <w:top w:w="12" w:type="dxa"/>
              <w:left w:w="12" w:type="dxa"/>
              <w:right w:w="12" w:type="dxa"/>
            </w:tcMar>
            <w:vAlign w:val="center"/>
          </w:tcPr>
          <w:p w14:paraId="74CA87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保安服务</w:t>
            </w:r>
          </w:p>
        </w:tc>
        <w:tc>
          <w:tcPr>
            <w:tcW w:w="783" w:type="dxa"/>
            <w:tcBorders>
              <w:top w:val="single" w:color="000000" w:sz="4" w:space="0"/>
              <w:left w:val="single" w:color="000000" w:sz="4" w:space="0"/>
              <w:right w:val="single" w:color="000000" w:sz="4" w:space="0"/>
            </w:tcBorders>
            <w:shd w:val="clear" w:color="auto" w:fill="FFFFFF"/>
            <w:noWrap w:val="0"/>
            <w:tcMar>
              <w:top w:w="12" w:type="dxa"/>
              <w:left w:w="12" w:type="dxa"/>
              <w:right w:w="12" w:type="dxa"/>
            </w:tcMar>
            <w:vAlign w:val="center"/>
          </w:tcPr>
          <w:p w14:paraId="51B60E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人</w:t>
            </w:r>
          </w:p>
        </w:tc>
        <w:tc>
          <w:tcPr>
            <w:tcW w:w="934" w:type="dxa"/>
            <w:tcBorders>
              <w:top w:val="single" w:color="000000" w:sz="4" w:space="0"/>
              <w:left w:val="single" w:color="000000" w:sz="4" w:space="0"/>
              <w:right w:val="single" w:color="000000" w:sz="4" w:space="0"/>
            </w:tcBorders>
            <w:shd w:val="clear" w:color="auto" w:fill="FFFFFF"/>
            <w:noWrap w:val="0"/>
            <w:tcMar>
              <w:top w:w="12" w:type="dxa"/>
              <w:left w:w="12" w:type="dxa"/>
              <w:right w:w="12" w:type="dxa"/>
            </w:tcMar>
            <w:vAlign w:val="center"/>
          </w:tcPr>
          <w:p w14:paraId="763A40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p>
        </w:tc>
        <w:tc>
          <w:tcPr>
            <w:tcW w:w="1866" w:type="dxa"/>
            <w:tcBorders>
              <w:top w:val="single" w:color="000000" w:sz="4" w:space="0"/>
              <w:left w:val="single" w:color="000000" w:sz="4" w:space="0"/>
              <w:right w:val="single" w:color="000000" w:sz="4" w:space="0"/>
            </w:tcBorders>
            <w:shd w:val="clear" w:color="auto" w:fill="FFFFFF"/>
            <w:noWrap w:val="0"/>
            <w:tcMar>
              <w:top w:w="12" w:type="dxa"/>
              <w:left w:w="12" w:type="dxa"/>
              <w:right w:w="12" w:type="dxa"/>
            </w:tcMar>
            <w:vAlign w:val="center"/>
          </w:tcPr>
          <w:p w14:paraId="2F5713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元/人/月</w:t>
            </w:r>
          </w:p>
        </w:tc>
        <w:tc>
          <w:tcPr>
            <w:tcW w:w="15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31F846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szCs w:val="24"/>
                <w:highlight w:val="none"/>
                <w:u w:val="single"/>
                <w:lang w:val="en-US" w:eastAsia="zh-CN"/>
              </w:rPr>
            </w:pPr>
            <w:r>
              <w:rPr>
                <w:rFonts w:hint="eastAsia" w:ascii="宋体" w:hAnsi="宋体" w:cs="宋体"/>
                <w:color w:val="000000"/>
                <w:sz w:val="24"/>
                <w:szCs w:val="24"/>
                <w:highlight w:val="none"/>
                <w:u w:val="single"/>
                <w:lang w:val="en-US" w:eastAsia="zh-CN"/>
              </w:rPr>
              <w:t>12</w:t>
            </w:r>
          </w:p>
        </w:tc>
        <w:tc>
          <w:tcPr>
            <w:tcW w:w="1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E8C5B9B">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元/年</w:t>
            </w:r>
          </w:p>
        </w:tc>
        <w:tc>
          <w:tcPr>
            <w:tcW w:w="8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0F37AE4">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highlight w:val="none"/>
              </w:rPr>
            </w:pPr>
          </w:p>
        </w:tc>
      </w:tr>
      <w:tr w14:paraId="2B725878">
        <w:tblPrEx>
          <w:tblCellMar>
            <w:top w:w="0" w:type="dxa"/>
            <w:left w:w="0" w:type="dxa"/>
            <w:bottom w:w="0" w:type="dxa"/>
            <w:right w:w="0" w:type="dxa"/>
          </w:tblCellMar>
        </w:tblPrEx>
        <w:trPr>
          <w:trHeight w:val="633" w:hRule="atLeast"/>
          <w:jc w:val="center"/>
        </w:trPr>
        <w:tc>
          <w:tcPr>
            <w:tcW w:w="7408" w:type="dxa"/>
            <w:gridSpan w:val="6"/>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82853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bidi="ar"/>
              </w:rPr>
              <w:t>合计</w:t>
            </w:r>
          </w:p>
        </w:tc>
        <w:tc>
          <w:tcPr>
            <w:tcW w:w="16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F17BC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4"/>
                <w:szCs w:val="24"/>
                <w:highlight w:val="none"/>
              </w:rPr>
            </w:pPr>
            <w:r>
              <w:rPr>
                <w:rFonts w:hint="eastAsia" w:ascii="宋体" w:hAnsi="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元</w:t>
            </w:r>
            <w:r>
              <w:rPr>
                <w:rFonts w:hint="eastAsia" w:ascii="宋体" w:hAnsi="宋体" w:eastAsia="宋体" w:cs="宋体"/>
                <w:color w:val="000000"/>
                <w:sz w:val="24"/>
                <w:szCs w:val="24"/>
                <w:highlight w:val="none"/>
                <w:lang w:val="en-US" w:eastAsia="zh-CN"/>
              </w:rPr>
              <w:t>/年</w:t>
            </w:r>
          </w:p>
        </w:tc>
        <w:tc>
          <w:tcPr>
            <w:tcW w:w="8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52F57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p>
        </w:tc>
      </w:tr>
    </w:tbl>
    <w:p w14:paraId="5442EBD5">
      <w:pPr>
        <w:pStyle w:val="2"/>
        <w:keepNext w:val="0"/>
        <w:keepLines w:val="0"/>
        <w:pageBreakBefore w:val="0"/>
        <w:widowControl w:val="0"/>
        <w:kinsoku/>
        <w:wordWrap/>
        <w:overflowPunct/>
        <w:topLinePunct w:val="0"/>
        <w:autoSpaceDE/>
        <w:autoSpaceDN/>
        <w:bidi w:val="0"/>
        <w:adjustRightInd/>
        <w:snapToGrid/>
        <w:spacing w:before="0" w:beforeLines="0" w:line="52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4、养护期：</w:t>
      </w:r>
      <w:r>
        <w:rPr>
          <w:rFonts w:hint="eastAsia" w:ascii="宋体" w:hAnsi="宋体" w:eastAsia="宋体" w:cs="宋体"/>
          <w:bCs/>
          <w:color w:val="auto"/>
          <w:sz w:val="24"/>
          <w:szCs w:val="24"/>
          <w:highlight w:val="none"/>
          <w:lang w:eastAsia="zh-CN"/>
        </w:rPr>
        <w:t>本次采购服务期限一年，</w:t>
      </w:r>
      <w:r>
        <w:rPr>
          <w:rFonts w:hint="eastAsia" w:ascii="宋体" w:hAnsi="宋体" w:cs="宋体"/>
          <w:bCs/>
          <w:color w:val="auto"/>
          <w:sz w:val="24"/>
          <w:szCs w:val="24"/>
          <w:highlight w:val="none"/>
          <w:lang w:val="en-US" w:eastAsia="zh-CN"/>
        </w:rPr>
        <w:t>从</w:t>
      </w:r>
      <w:r>
        <w:rPr>
          <w:rFonts w:hint="eastAsia" w:ascii="宋体" w:hAnsi="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lang w:val="en-US" w:eastAsia="zh-CN"/>
        </w:rPr>
        <w:t>年</w:t>
      </w:r>
      <w:r>
        <w:rPr>
          <w:rFonts w:hint="eastAsia" w:ascii="宋体" w:hAnsi="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none"/>
          <w:lang w:val="en-US" w:eastAsia="zh-CN"/>
        </w:rPr>
        <w:t>月</w:t>
      </w:r>
      <w:r>
        <w:rPr>
          <w:rFonts w:hint="eastAsia" w:ascii="宋体" w:hAnsi="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none"/>
          <w:lang w:val="en-US" w:eastAsia="zh-CN"/>
        </w:rPr>
        <w:t>日至</w:t>
      </w:r>
      <w:r>
        <w:rPr>
          <w:rFonts w:hint="eastAsia" w:ascii="宋体" w:hAnsi="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lang w:val="en-US" w:eastAsia="zh-CN"/>
        </w:rPr>
        <w:t>年</w:t>
      </w:r>
      <w:r>
        <w:rPr>
          <w:rFonts w:hint="eastAsia" w:ascii="宋体" w:hAnsi="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none"/>
          <w:lang w:val="en-US" w:eastAsia="zh-CN"/>
        </w:rPr>
        <w:t>月</w:t>
      </w:r>
      <w:r>
        <w:rPr>
          <w:rFonts w:hint="eastAsia" w:ascii="宋体" w:hAnsi="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none"/>
          <w:lang w:val="en-US" w:eastAsia="zh-CN"/>
        </w:rPr>
        <w:t>日，</w:t>
      </w:r>
      <w:r>
        <w:rPr>
          <w:rFonts w:hint="eastAsia" w:ascii="宋体" w:hAnsi="宋体" w:eastAsia="宋体" w:cs="宋体"/>
          <w:bCs/>
          <w:color w:val="auto"/>
          <w:sz w:val="24"/>
          <w:szCs w:val="24"/>
          <w:highlight w:val="none"/>
          <w:lang w:eastAsia="zh-CN"/>
        </w:rPr>
        <w:t>合同一年一签，合同到期后，采购人视中标方履约情况决定合同是否续签，最多续签两年。</w:t>
      </w:r>
    </w:p>
    <w:p w14:paraId="4DE8020C">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2" w:firstLineChars="200"/>
        <w:jc w:val="both"/>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四、绿化养护服务标准及要求：</w:t>
      </w:r>
    </w:p>
    <w:p w14:paraId="4BE44DAF">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绿化养护服务标准及要求：</w:t>
      </w:r>
    </w:p>
    <w:p w14:paraId="3DEC0323">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（1）绿化养护服务标准：</w:t>
      </w:r>
    </w:p>
    <w:p w14:paraId="5931BEAE">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①树木类:生长正常、内隆通风透风、无明显枯枝死叉、能及时治虫；</w:t>
      </w:r>
    </w:p>
    <w:p w14:paraId="1815C7B9">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②草坪:生长良好、无高大杂草(杂草串≤2.5%)、90%&lt;覆盖率≤95%、及时修剪(草坪高度≤20CM)、保持整洁；</w:t>
      </w:r>
    </w:p>
    <w:p w14:paraId="6997B327">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③绿篱及地被:生长正常、修剪及时、形状完善、无垃圾杂物。</w:t>
      </w:r>
    </w:p>
    <w:p w14:paraId="09DD6682">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（2）绿化养护要求：</w:t>
      </w:r>
    </w:p>
    <w:p w14:paraId="075B4E3E">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①乔木类、灌木类、球类植物:修剪、病虫害防治、灌溉及加土扶正；</w:t>
      </w:r>
    </w:p>
    <w:p w14:paraId="336FB444">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②绿篱、竹类:除修翦、病虫害防治、灌溉及加土扶正外，需整形、枯死及时清除；</w:t>
      </w:r>
    </w:p>
    <w:p w14:paraId="7C71F57F">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③露地花卉:修剪、病虫害防治、灌溉及缺株补植；</w:t>
      </w:r>
    </w:p>
    <w:p w14:paraId="13F67E24">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④草坪类:每年修剪不少于五次、病虫害及时防治、除杂草四次以上、其它及时灌溉、保洁；</w:t>
      </w:r>
    </w:p>
    <w:p w14:paraId="1F11CEAC">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⑤环境清理、草坪局部施肥等。每年杂树清理且割草一次以上，有病虫害及时防治、灌溉及加土扶正、保持存活。</w:t>
      </w:r>
    </w:p>
    <w:p w14:paraId="21E91ECF">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、保洁服务标准：</w:t>
      </w:r>
    </w:p>
    <w:p w14:paraId="733BC865">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（1）院内路面:地面干净。明沟无杂物，无积水。通道地面应保持畅通，无堆放杂物、无积灰、积水、无污迹、油渍、轮胎印，地面应保持原色；</w:t>
      </w:r>
    </w:p>
    <w:p w14:paraId="62E6FC5C">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（2）雨雪天气的处理:遇雨雪天气应及时处理积雪、积水，保持道路畅通。</w:t>
      </w:r>
    </w:p>
    <w:p w14:paraId="28FB78DA">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、保安服务标准:</w:t>
      </w:r>
    </w:p>
    <w:p w14:paraId="781B654B">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（1）公共秩序管理:区域内维持公共秩序，做好安全保卫和防范工作；</w:t>
      </w:r>
    </w:p>
    <w:p w14:paraId="54723EA8">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（2）交通秩序维护:区域内各类车辆进出时的交通引导;对车辆的停放进行管理，确保车辆正常的停放秩序；</w:t>
      </w:r>
    </w:p>
    <w:p w14:paraId="6042A4B3">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（3）消防防灾管理:区域内消防设施的日常维护、保养和检查，落实消防工作责任制，做好消防监控值班和巡查，及时发现火灾隐患，按要求制定应急预案并定期开展预案演练</w:t>
      </w:r>
      <w:r>
        <w:rPr>
          <w:rFonts w:hint="eastAsia" w:ascii="宋体" w:hAnsi="宋体" w:cs="宋体"/>
          <w:color w:val="auto"/>
          <w:sz w:val="24"/>
          <w:szCs w:val="24"/>
          <w:highlight w:val="none"/>
          <w:lang w:eastAsia="zh-CN"/>
        </w:rPr>
        <w:t>，一旦发生</w:t>
      </w:r>
      <w:r>
        <w:rPr>
          <w:rFonts w:hint="eastAsia" w:ascii="宋体" w:hAnsi="宋体" w:eastAsia="宋体" w:cs="宋体"/>
          <w:color w:val="auto"/>
          <w:sz w:val="24"/>
          <w:szCs w:val="24"/>
          <w:highlight w:val="none"/>
        </w:rPr>
        <w:t>火灾配合消防部门扑救。</w:t>
      </w:r>
    </w:p>
    <w:p w14:paraId="384582DB">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、其他事项</w:t>
      </w:r>
      <w:r>
        <w:rPr>
          <w:rFonts w:hint="eastAsia" w:ascii="宋体" w:hAnsi="宋体" w:cs="宋体"/>
          <w:color w:val="auto"/>
          <w:sz w:val="24"/>
          <w:szCs w:val="24"/>
          <w:highlight w:val="none"/>
          <w:lang w:val="en-US" w:eastAsia="zh-CN"/>
        </w:rPr>
        <w:t>:</w:t>
      </w:r>
    </w:p>
    <w:p w14:paraId="01812514">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按照甲方要求提供绿</w:t>
      </w:r>
      <w:r>
        <w:rPr>
          <w:rFonts w:hint="eastAsia" w:ascii="宋体" w:hAnsi="宋体" w:eastAsia="宋体" w:cs="宋体"/>
          <w:color w:val="auto"/>
          <w:sz w:val="24"/>
          <w:szCs w:val="24"/>
          <w:highlight w:val="none"/>
          <w:lang w:eastAsia="zh-CN"/>
        </w:rPr>
        <w:t>化</w:t>
      </w:r>
      <w:r>
        <w:rPr>
          <w:rFonts w:hint="eastAsia" w:ascii="宋体" w:hAnsi="宋体" w:eastAsia="宋体" w:cs="宋体"/>
          <w:color w:val="auto"/>
          <w:sz w:val="24"/>
          <w:szCs w:val="24"/>
          <w:highlight w:val="none"/>
        </w:rPr>
        <w:t>养护管理</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eastAsia="zh-CN"/>
        </w:rPr>
        <w:t>做好绿化</w:t>
      </w:r>
      <w:r>
        <w:rPr>
          <w:rFonts w:hint="eastAsia" w:ascii="宋体" w:hAnsi="宋体" w:eastAsia="宋体" w:cs="宋体"/>
          <w:color w:val="auto"/>
          <w:sz w:val="24"/>
          <w:szCs w:val="24"/>
          <w:highlight w:val="none"/>
        </w:rPr>
        <w:t>养护管理有关工作等。</w:t>
      </w:r>
    </w:p>
    <w:p w14:paraId="64A1D509">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2" w:firstLineChars="200"/>
        <w:jc w:val="both"/>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五、双方责任</w:t>
      </w:r>
    </w:p>
    <w:p w14:paraId="0A1287ED">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1、甲方责任</w:t>
      </w:r>
    </w:p>
    <w:p w14:paraId="316AD84D">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（1）全面监督、指导、检查、验收乙方工作。</w:t>
      </w:r>
    </w:p>
    <w:p w14:paraId="430BF722">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（2）在检查时如发现有不合格之处，应以“质量整改通知书”的形式书面通知乙方。</w:t>
      </w:r>
    </w:p>
    <w:p w14:paraId="1FCD42FF">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（3）及时为乙方办理结算并支付养护及管理服务费用。</w:t>
      </w:r>
    </w:p>
    <w:p w14:paraId="5C5A8799">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2、乙方责任</w:t>
      </w:r>
    </w:p>
    <w:p w14:paraId="64E117F4">
      <w:pPr>
        <w:pStyle w:val="2"/>
        <w:keepNext w:val="0"/>
        <w:keepLines w:val="0"/>
        <w:pageBreakBefore w:val="0"/>
        <w:widowControl w:val="0"/>
        <w:kinsoku/>
        <w:wordWrap/>
        <w:overflowPunct/>
        <w:topLinePunct w:val="0"/>
        <w:autoSpaceDE/>
        <w:autoSpaceDN/>
        <w:bidi w:val="0"/>
        <w:adjustRightInd/>
        <w:snapToGrid/>
        <w:spacing w:before="0" w:beforeLines="0" w:line="5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认真按合同标准养护管理，遵守甲方的各项规章制度，服从甲方的管理，甲方不定期对乙方绿化养护及服务工作进行检查并评分，如评分低于80分，每次扣罚2000元，评分标准详见附件《邹鲁苑公园绿化养护服务考核表》。</w:t>
      </w:r>
    </w:p>
    <w:p w14:paraId="0FBE5DBC">
      <w:pPr>
        <w:pStyle w:val="2"/>
        <w:keepNext w:val="0"/>
        <w:keepLines w:val="0"/>
        <w:pageBreakBefore w:val="0"/>
        <w:widowControl w:val="0"/>
        <w:kinsoku/>
        <w:wordWrap/>
        <w:overflowPunct/>
        <w:topLinePunct w:val="0"/>
        <w:autoSpaceDE/>
        <w:autoSpaceDN/>
        <w:bidi w:val="0"/>
        <w:adjustRightInd/>
        <w:snapToGrid/>
        <w:spacing w:before="0" w:beforeLines="0" w:line="5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（2）对甲方验收不合格之处，甲方应及时进行适当的整改。</w:t>
      </w:r>
    </w:p>
    <w:p w14:paraId="31385A37">
      <w:pPr>
        <w:pStyle w:val="2"/>
        <w:keepNext w:val="0"/>
        <w:keepLines w:val="0"/>
        <w:pageBreakBefore w:val="0"/>
        <w:widowControl w:val="0"/>
        <w:kinsoku/>
        <w:wordWrap/>
        <w:overflowPunct/>
        <w:topLinePunct w:val="0"/>
        <w:autoSpaceDE/>
        <w:autoSpaceDN/>
        <w:bidi w:val="0"/>
        <w:adjustRightInd/>
        <w:snapToGrid/>
        <w:spacing w:before="0" w:beforeLines="0" w:line="5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（3）做到工完场清，文明作业。</w:t>
      </w:r>
    </w:p>
    <w:p w14:paraId="0E004F9D">
      <w:pPr>
        <w:pStyle w:val="2"/>
        <w:keepNext w:val="0"/>
        <w:keepLines w:val="0"/>
        <w:pageBreakBefore w:val="0"/>
        <w:widowControl w:val="0"/>
        <w:kinsoku/>
        <w:wordWrap/>
        <w:overflowPunct/>
        <w:topLinePunct w:val="0"/>
        <w:autoSpaceDE/>
        <w:autoSpaceDN/>
        <w:bidi w:val="0"/>
        <w:adjustRightInd/>
        <w:snapToGrid/>
        <w:spacing w:before="0" w:beforeLines="0" w:line="5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（4）每逢重大节日，乙方应根据甲方要求合理布置花坛、园林小品等，费用另计</w:t>
      </w:r>
      <w:r>
        <w:rPr>
          <w:rFonts w:hint="eastAsia" w:ascii="宋体" w:hAnsi="宋体" w:cs="宋体"/>
          <w:color w:val="auto"/>
          <w:kern w:val="2"/>
          <w:sz w:val="24"/>
          <w:szCs w:val="24"/>
          <w:highlight w:val="none"/>
          <w:lang w:val="en-US" w:eastAsia="zh-CN" w:bidi="ar-SA"/>
        </w:rPr>
        <w:t>。</w:t>
      </w:r>
    </w:p>
    <w:p w14:paraId="171D9FF2">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2" w:firstLineChars="200"/>
        <w:jc w:val="both"/>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六、违约责任</w:t>
      </w:r>
    </w:p>
    <w:p w14:paraId="0AFF61E2">
      <w:pPr>
        <w:pStyle w:val="2"/>
        <w:keepNext w:val="0"/>
        <w:keepLines w:val="0"/>
        <w:pageBreakBefore w:val="0"/>
        <w:widowControl w:val="0"/>
        <w:kinsoku/>
        <w:wordWrap/>
        <w:overflowPunct/>
        <w:topLinePunct w:val="0"/>
        <w:autoSpaceDE/>
        <w:autoSpaceDN/>
        <w:bidi w:val="0"/>
        <w:adjustRightInd/>
        <w:snapToGrid/>
        <w:spacing w:before="0" w:beforeLines="0" w:line="5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1、中途退约：甲乙双方无须提出任何理由，提前30天书面通知对方即可解除合同。</w:t>
      </w:r>
    </w:p>
    <w:p w14:paraId="734945BD">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2、若不提前通知对方，退约方应支付另一方1个月的养护费作为经济赔偿。</w:t>
      </w:r>
    </w:p>
    <w:p w14:paraId="78241425">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2" w:firstLineChars="200"/>
        <w:jc w:val="both"/>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kern w:val="2"/>
          <w:sz w:val="24"/>
          <w:szCs w:val="24"/>
          <w:highlight w:val="none"/>
          <w:lang w:val="en-US" w:eastAsia="zh-CN" w:bidi="ar-SA"/>
        </w:rPr>
        <w:t>七、付款方式：</w:t>
      </w:r>
    </w:p>
    <w:p w14:paraId="23DDCD4C">
      <w:pPr>
        <w:keepNext w:val="0"/>
        <w:keepLines w:val="0"/>
        <w:pageBreakBefore w:val="0"/>
        <w:widowControl w:val="0"/>
        <w:kinsoku/>
        <w:wordWrap/>
        <w:overflowPunct/>
        <w:topLinePunct w:val="0"/>
        <w:autoSpaceDE/>
        <w:autoSpaceDN/>
        <w:bidi w:val="0"/>
        <w:adjustRightInd/>
        <w:snapToGrid/>
        <w:spacing w:line="520" w:lineRule="exact"/>
        <w:ind w:left="105" w:leftChars="50" w:right="105" w:rightChars="5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本项目无预付款，</w:t>
      </w:r>
      <w:r>
        <w:rPr>
          <w:rFonts w:hint="eastAsia" w:ascii="宋体" w:hAnsi="宋体" w:cs="宋体"/>
          <w:b/>
          <w:bCs/>
          <w:color w:val="auto"/>
          <w:sz w:val="24"/>
          <w:szCs w:val="24"/>
          <w:highlight w:val="none"/>
          <w:lang w:eastAsia="zh-CN"/>
        </w:rPr>
        <w:t>采购人按合同金额每半年均摊拨付给供应商</w:t>
      </w:r>
      <w:r>
        <w:rPr>
          <w:rFonts w:hint="eastAsia" w:ascii="宋体" w:hAnsi="宋体" w:eastAsia="宋体" w:cs="宋体"/>
          <w:b/>
          <w:bCs/>
          <w:color w:val="auto"/>
          <w:sz w:val="24"/>
          <w:szCs w:val="24"/>
          <w:highlight w:val="none"/>
        </w:rPr>
        <w:t>。</w:t>
      </w:r>
    </w:p>
    <w:p w14:paraId="270F4BED">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2" w:firstLineChars="200"/>
        <w:jc w:val="both"/>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八、其他</w:t>
      </w:r>
      <w:r>
        <w:rPr>
          <w:rFonts w:hint="eastAsia" w:ascii="宋体" w:hAnsi="宋体" w:eastAsia="宋体" w:cs="宋体"/>
          <w:b/>
          <w:bCs/>
          <w:color w:val="auto"/>
          <w:sz w:val="24"/>
          <w:highlight w:val="none"/>
          <w:lang w:eastAsia="zh-CN"/>
        </w:rPr>
        <w:t>：</w:t>
      </w:r>
    </w:p>
    <w:p w14:paraId="1B0D2B3B">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1、甲方应根据乙方事先通知的作业计划。</w:t>
      </w:r>
    </w:p>
    <w:p w14:paraId="259A55D4">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2、如遇不可抗拒自然灾害（如强台风、冰雹等）造成重大损失由甲乙双方商议解决补救办法，费用由甲方承担。</w:t>
      </w:r>
    </w:p>
    <w:p w14:paraId="2D6FD713">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3、由乙方工作失误造成的一切损失由乙方自负。</w:t>
      </w:r>
    </w:p>
    <w:p w14:paraId="3494115B">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4、本合同未尽事宜，经双方协商同意，签订补充协议作合同附件，与本合同具有同等效力。</w:t>
      </w:r>
    </w:p>
    <w:p w14:paraId="216BCA39">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5、本合同一式</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份，双方各执</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份，具有同等法律效力。</w:t>
      </w:r>
    </w:p>
    <w:p w14:paraId="4AAFA3E4">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6、本合同自签字盖章之日起生效。</w:t>
      </w:r>
    </w:p>
    <w:p w14:paraId="4CBCAC30">
      <w:pPr>
        <w:spacing w:line="440" w:lineRule="exact"/>
        <w:rPr>
          <w:rFonts w:hint="eastAsia" w:ascii="宋体" w:hAnsi="宋体" w:cs="宋体"/>
          <w:color w:val="auto"/>
          <w:sz w:val="24"/>
          <w:highlight w:val="none"/>
        </w:rPr>
      </w:pPr>
    </w:p>
    <w:p w14:paraId="1A54B2C0">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采购方（章）：                    承包方（章）：</w:t>
      </w:r>
    </w:p>
    <w:p w14:paraId="4FBB5AB0">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地址：                            地址：</w:t>
      </w:r>
    </w:p>
    <w:p w14:paraId="77258F25">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法定代表人：            　    　  法定代表人：</w:t>
      </w:r>
    </w:p>
    <w:p w14:paraId="50BBAE0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 xml:space="preserve">委托代理人：                      委托代理人：　　　　                       </w:t>
      </w:r>
    </w:p>
    <w:p w14:paraId="1E6CF0F8">
      <w:pPr>
        <w:keepNext w:val="0"/>
        <w:keepLines w:val="0"/>
        <w:pageBreakBefore w:val="0"/>
        <w:widowControl w:val="0"/>
        <w:numPr>
          <w:ilvl w:val="0"/>
          <w:numId w:val="0"/>
        </w:numPr>
        <w:kinsoku/>
        <w:wordWrap/>
        <w:overflowPunct/>
        <w:topLinePunct w:val="0"/>
        <w:autoSpaceDE/>
        <w:autoSpaceDN/>
        <w:bidi w:val="0"/>
        <w:adjustRightInd/>
        <w:snapToGrid/>
        <w:spacing w:before="625" w:beforeLines="200" w:after="625" w:afterLines="200" w:line="400" w:lineRule="exact"/>
        <w:ind w:firstLine="720" w:firstLineChars="300"/>
        <w:jc w:val="both"/>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4B5C5699">
      <w:pPr>
        <w:pStyle w:val="24"/>
        <w:rPr>
          <w:rFonts w:hint="default" w:hAnsi="宋体"/>
          <w:b/>
          <w:bCs/>
          <w:color w:val="auto"/>
          <w:sz w:val="24"/>
          <w:highlight w:val="none"/>
        </w:rPr>
      </w:pPr>
      <w:r>
        <w:rPr>
          <w:rFonts w:hAnsi="宋体"/>
          <w:b/>
          <w:bCs/>
          <w:color w:val="auto"/>
          <w:sz w:val="24"/>
          <w:highlight w:val="none"/>
        </w:rPr>
        <w:t>（在不背离磋商活动的实质性内容的情况下，供应商可与采购人协商修改签订合同）</w:t>
      </w:r>
    </w:p>
    <w:p w14:paraId="3DE625DB">
      <w:pPr>
        <w:spacing w:line="560" w:lineRule="exact"/>
        <w:jc w:val="left"/>
        <w:outlineLvl w:val="9"/>
        <w:rPr>
          <w:rFonts w:ascii="宋体" w:hAnsi="宋体" w:cs="宋体"/>
          <w:b/>
          <w:color w:val="auto"/>
          <w:sz w:val="24"/>
          <w:highlight w:val="none"/>
        </w:rPr>
      </w:pPr>
      <w:r>
        <w:rPr>
          <w:rFonts w:hint="eastAsia" w:ascii="宋体" w:hAnsi="宋体" w:eastAsia="宋体" w:cs="宋体"/>
          <w:color w:val="auto"/>
          <w:sz w:val="24"/>
          <w:szCs w:val="24"/>
          <w:highlight w:val="none"/>
        </w:rPr>
        <w:br w:type="page"/>
      </w:r>
    </w:p>
    <w:p w14:paraId="4C7C2219">
      <w:pPr>
        <w:spacing w:line="560" w:lineRule="exact"/>
        <w:jc w:val="center"/>
        <w:outlineLvl w:val="0"/>
        <w:rPr>
          <w:rFonts w:ascii="宋体" w:hAnsi="宋体" w:cs="宋体"/>
          <w:b/>
          <w:color w:val="auto"/>
          <w:sz w:val="24"/>
          <w:highlight w:val="none"/>
        </w:rPr>
      </w:pPr>
      <w:bookmarkStart w:id="16" w:name="_Toc10860"/>
      <w:bookmarkStart w:id="17" w:name="_Toc5876"/>
      <w:bookmarkStart w:id="18" w:name="_Toc11659842"/>
      <w:bookmarkStart w:id="19" w:name="_Toc25753_WPSOffice_Level1"/>
      <w:r>
        <w:rPr>
          <w:rFonts w:ascii="宋体" w:hAnsi="宋体" w:cs="宋体"/>
          <w:b/>
          <w:color w:val="auto"/>
          <w:sz w:val="24"/>
          <w:highlight w:val="none"/>
        </w:rPr>
        <w:t>第六部分  响应文件部分格式</w:t>
      </w:r>
      <w:bookmarkEnd w:id="16"/>
      <w:bookmarkEnd w:id="17"/>
      <w:bookmarkEnd w:id="18"/>
      <w:bookmarkEnd w:id="19"/>
    </w:p>
    <w:p w14:paraId="59FAC881">
      <w:pPr>
        <w:pStyle w:val="22"/>
        <w:spacing w:line="560" w:lineRule="exact"/>
        <w:ind w:firstLine="480"/>
        <w:rPr>
          <w:rFonts w:ascii="宋体" w:hAnsi="宋体" w:cs="宋体"/>
          <w:color w:val="auto"/>
          <w:sz w:val="24"/>
          <w:highlight w:val="none"/>
        </w:rPr>
      </w:pPr>
    </w:p>
    <w:p w14:paraId="425228EB">
      <w:pPr>
        <w:pStyle w:val="22"/>
        <w:spacing w:line="560" w:lineRule="exact"/>
        <w:ind w:firstLine="480"/>
        <w:rPr>
          <w:rFonts w:ascii="宋体" w:hAnsi="宋体" w:cs="宋体"/>
          <w:color w:val="auto"/>
          <w:sz w:val="24"/>
          <w:highlight w:val="none"/>
        </w:rPr>
      </w:pPr>
    </w:p>
    <w:p w14:paraId="3ECEF064">
      <w:pPr>
        <w:spacing w:line="560" w:lineRule="exact"/>
        <w:jc w:val="center"/>
        <w:rPr>
          <w:rFonts w:ascii="宋体" w:hAnsi="宋体" w:cs="宋体"/>
          <w:b/>
          <w:color w:val="auto"/>
          <w:sz w:val="36"/>
          <w:szCs w:val="36"/>
          <w:highlight w:val="none"/>
        </w:rPr>
      </w:pPr>
      <w:bookmarkStart w:id="20" w:name="_Toc19010_WPSOffice_Level1"/>
      <w:r>
        <w:rPr>
          <w:rFonts w:hint="eastAsia" w:ascii="宋体" w:hAnsi="宋体" w:cs="宋体"/>
          <w:b/>
          <w:color w:val="auto"/>
          <w:sz w:val="36"/>
          <w:szCs w:val="36"/>
          <w:highlight w:val="none"/>
          <w:lang w:eastAsia="zh-CN"/>
        </w:rPr>
        <w:t>邹城市钢山街道邹鲁苑公园绿化养护管理服务项目</w:t>
      </w:r>
      <w:r>
        <w:rPr>
          <w:rFonts w:ascii="宋体" w:hAnsi="宋体" w:cs="宋体"/>
          <w:b/>
          <w:color w:val="auto"/>
          <w:sz w:val="36"/>
          <w:szCs w:val="36"/>
          <w:highlight w:val="none"/>
        </w:rPr>
        <w:t>竞争性磋商</w:t>
      </w:r>
      <w:bookmarkEnd w:id="20"/>
    </w:p>
    <w:p w14:paraId="43B18DCE">
      <w:pPr>
        <w:pStyle w:val="19"/>
        <w:spacing w:before="73" w:line="560" w:lineRule="exact"/>
        <w:ind w:left="306" w:hanging="306"/>
        <w:rPr>
          <w:rFonts w:cs="宋体"/>
          <w:color w:val="auto"/>
          <w:sz w:val="36"/>
          <w:szCs w:val="36"/>
          <w:highlight w:val="none"/>
        </w:rPr>
      </w:pPr>
    </w:p>
    <w:p w14:paraId="3BF4BF81">
      <w:pPr>
        <w:pStyle w:val="19"/>
        <w:spacing w:before="73" w:line="560" w:lineRule="exact"/>
        <w:ind w:left="306" w:hanging="306"/>
        <w:rPr>
          <w:rFonts w:cs="宋体"/>
          <w:color w:val="auto"/>
          <w:sz w:val="36"/>
          <w:szCs w:val="36"/>
          <w:highlight w:val="none"/>
        </w:rPr>
      </w:pPr>
    </w:p>
    <w:p w14:paraId="2AFB81B4">
      <w:pPr>
        <w:spacing w:beforeLines="150" w:line="560" w:lineRule="exact"/>
        <w:jc w:val="center"/>
        <w:rPr>
          <w:rFonts w:ascii="宋体" w:hAnsi="宋体" w:cs="宋体"/>
          <w:color w:val="auto"/>
          <w:sz w:val="36"/>
          <w:szCs w:val="36"/>
          <w:highlight w:val="none"/>
        </w:rPr>
      </w:pPr>
      <w:bookmarkStart w:id="21" w:name="_Toc30077_WPSOffice_Level1"/>
      <w:r>
        <w:rPr>
          <w:rFonts w:ascii="宋体" w:hAnsi="宋体" w:cs="宋体"/>
          <w:b/>
          <w:bCs/>
          <w:color w:val="auto"/>
          <w:sz w:val="72"/>
          <w:szCs w:val="72"/>
          <w:highlight w:val="none"/>
        </w:rPr>
        <w:t>响应文件</w:t>
      </w:r>
      <w:bookmarkEnd w:id="21"/>
    </w:p>
    <w:p w14:paraId="43C0E962">
      <w:pPr>
        <w:spacing w:line="560" w:lineRule="exact"/>
        <w:jc w:val="center"/>
        <w:rPr>
          <w:rFonts w:ascii="宋体" w:hAnsi="宋体" w:cs="宋体"/>
          <w:color w:val="auto"/>
          <w:sz w:val="36"/>
          <w:szCs w:val="36"/>
          <w:highlight w:val="none"/>
        </w:rPr>
      </w:pPr>
    </w:p>
    <w:p w14:paraId="61DFA846">
      <w:pPr>
        <w:spacing w:line="560" w:lineRule="exact"/>
        <w:jc w:val="center"/>
        <w:rPr>
          <w:rFonts w:ascii="宋体" w:hAnsi="宋体" w:cs="宋体"/>
          <w:color w:val="auto"/>
          <w:sz w:val="36"/>
          <w:szCs w:val="36"/>
          <w:highlight w:val="none"/>
        </w:rPr>
      </w:pPr>
      <w:bookmarkStart w:id="22" w:name="_Toc21468_WPSOffice_Level1"/>
      <w:r>
        <w:rPr>
          <w:rFonts w:ascii="宋体" w:hAnsi="宋体" w:cs="宋体"/>
          <w:color w:val="auto"/>
          <w:sz w:val="36"/>
          <w:szCs w:val="36"/>
          <w:highlight w:val="none"/>
        </w:rPr>
        <w:t>项目编号：</w:t>
      </w:r>
      <w:bookmarkEnd w:id="22"/>
    </w:p>
    <w:p w14:paraId="2F46BE0A">
      <w:pPr>
        <w:spacing w:line="560" w:lineRule="exact"/>
        <w:jc w:val="center"/>
        <w:rPr>
          <w:rFonts w:ascii="宋体" w:hAnsi="宋体" w:cs="宋体"/>
          <w:color w:val="auto"/>
          <w:sz w:val="24"/>
          <w:highlight w:val="none"/>
        </w:rPr>
      </w:pPr>
    </w:p>
    <w:p w14:paraId="64718A9C">
      <w:pPr>
        <w:spacing w:line="560" w:lineRule="exact"/>
        <w:rPr>
          <w:rFonts w:ascii="宋体" w:hAnsi="宋体" w:cs="宋体"/>
          <w:color w:val="auto"/>
          <w:sz w:val="24"/>
          <w:highlight w:val="none"/>
        </w:rPr>
      </w:pPr>
    </w:p>
    <w:p w14:paraId="322A0BB7">
      <w:pPr>
        <w:spacing w:line="560" w:lineRule="exact"/>
        <w:rPr>
          <w:rFonts w:ascii="宋体" w:hAnsi="宋体" w:cs="宋体"/>
          <w:color w:val="auto"/>
          <w:sz w:val="24"/>
          <w:highlight w:val="none"/>
        </w:rPr>
      </w:pPr>
    </w:p>
    <w:p w14:paraId="71EC02BC">
      <w:pPr>
        <w:spacing w:line="560" w:lineRule="exact"/>
        <w:rPr>
          <w:rFonts w:ascii="宋体" w:hAnsi="宋体" w:cs="宋体"/>
          <w:color w:val="auto"/>
          <w:sz w:val="24"/>
          <w:highlight w:val="none"/>
        </w:rPr>
      </w:pPr>
    </w:p>
    <w:p w14:paraId="2CF05874">
      <w:pPr>
        <w:spacing w:line="560" w:lineRule="exact"/>
        <w:rPr>
          <w:rFonts w:ascii="宋体" w:hAnsi="宋体" w:cs="宋体"/>
          <w:color w:val="auto"/>
          <w:sz w:val="24"/>
          <w:highlight w:val="none"/>
        </w:rPr>
      </w:pPr>
    </w:p>
    <w:p w14:paraId="74F52C1C">
      <w:pPr>
        <w:spacing w:line="560" w:lineRule="exact"/>
        <w:rPr>
          <w:rFonts w:ascii="宋体" w:hAnsi="宋体" w:cs="宋体"/>
          <w:color w:val="auto"/>
          <w:sz w:val="24"/>
          <w:highlight w:val="none"/>
        </w:rPr>
      </w:pPr>
    </w:p>
    <w:p w14:paraId="19631FF7">
      <w:pPr>
        <w:spacing w:line="560" w:lineRule="exact"/>
        <w:rPr>
          <w:rFonts w:ascii="宋体" w:hAnsi="宋体" w:cs="宋体"/>
          <w:color w:val="auto"/>
          <w:sz w:val="24"/>
          <w:highlight w:val="none"/>
        </w:rPr>
      </w:pPr>
    </w:p>
    <w:p w14:paraId="3DC64FAE">
      <w:pPr>
        <w:spacing w:line="560" w:lineRule="exact"/>
        <w:rPr>
          <w:rFonts w:ascii="宋体" w:hAnsi="宋体" w:cs="宋体"/>
          <w:color w:val="auto"/>
          <w:sz w:val="24"/>
          <w:highlight w:val="none"/>
        </w:rPr>
      </w:pPr>
    </w:p>
    <w:p w14:paraId="51DF2DD5">
      <w:pPr>
        <w:spacing w:line="560" w:lineRule="exact"/>
        <w:ind w:firstLine="1560" w:firstLineChars="650"/>
        <w:rPr>
          <w:rFonts w:ascii="宋体" w:hAnsi="宋体" w:cs="宋体"/>
          <w:color w:val="auto"/>
          <w:sz w:val="24"/>
          <w:highlight w:val="none"/>
          <w:u w:val="single"/>
        </w:rPr>
      </w:pPr>
      <w:r>
        <w:rPr>
          <w:rFonts w:ascii="宋体" w:hAnsi="宋体" w:cs="宋体"/>
          <w:color w:val="auto"/>
          <w:sz w:val="24"/>
          <w:highlight w:val="none"/>
        </w:rPr>
        <w:t>磋商响应供应商：</w:t>
      </w:r>
      <w:r>
        <w:rPr>
          <w:rFonts w:ascii="宋体" w:hAnsi="宋体" w:cs="宋体"/>
          <w:color w:val="auto"/>
          <w:sz w:val="24"/>
          <w:highlight w:val="none"/>
          <w:u w:val="single"/>
        </w:rPr>
        <w:t xml:space="preserve">                            （盖章）</w:t>
      </w:r>
    </w:p>
    <w:p w14:paraId="15BFF8BA">
      <w:pPr>
        <w:spacing w:line="560" w:lineRule="exact"/>
        <w:ind w:firstLine="1600" w:firstLineChars="667"/>
        <w:rPr>
          <w:rFonts w:ascii="宋体" w:hAnsi="宋体" w:cs="宋体"/>
          <w:color w:val="auto"/>
          <w:sz w:val="24"/>
          <w:highlight w:val="none"/>
          <w:u w:val="single"/>
        </w:rPr>
      </w:pPr>
      <w:r>
        <w:rPr>
          <w:rFonts w:ascii="宋体" w:hAnsi="宋体" w:cs="宋体"/>
          <w:color w:val="auto"/>
          <w:sz w:val="24"/>
          <w:highlight w:val="none"/>
        </w:rPr>
        <w:t>法定代表人或其委托代理人：</w:t>
      </w:r>
      <w:r>
        <w:rPr>
          <w:rFonts w:ascii="宋体" w:hAnsi="宋体" w:cs="宋体"/>
          <w:color w:val="auto"/>
          <w:sz w:val="24"/>
          <w:highlight w:val="none"/>
          <w:u w:val="single"/>
        </w:rPr>
        <w:t xml:space="preserve">            （签字或盖章）</w:t>
      </w:r>
    </w:p>
    <w:p w14:paraId="39C17B73">
      <w:pPr>
        <w:spacing w:line="560" w:lineRule="exact"/>
        <w:ind w:firstLine="1600" w:firstLineChars="667"/>
        <w:rPr>
          <w:rFonts w:ascii="宋体" w:hAnsi="宋体" w:cs="宋体"/>
          <w:b/>
          <w:color w:val="auto"/>
          <w:sz w:val="24"/>
          <w:highlight w:val="none"/>
        </w:rPr>
      </w:pPr>
      <w:r>
        <w:rPr>
          <w:rFonts w:ascii="宋体" w:hAnsi="宋体" w:cs="宋体"/>
          <w:color w:val="auto"/>
          <w:sz w:val="24"/>
          <w:highlight w:val="none"/>
        </w:rPr>
        <w:t>日    期：</w:t>
      </w:r>
      <w:r>
        <w:rPr>
          <w:rFonts w:ascii="宋体" w:hAnsi="宋体" w:cs="宋体"/>
          <w:color w:val="auto"/>
          <w:sz w:val="24"/>
          <w:highlight w:val="none"/>
          <w:u w:val="single"/>
        </w:rPr>
        <w:t xml:space="preserve">          </w:t>
      </w:r>
      <w:r>
        <w:rPr>
          <w:rFonts w:ascii="宋体" w:hAnsi="宋体" w:cs="宋体"/>
          <w:color w:val="auto"/>
          <w:sz w:val="24"/>
          <w:highlight w:val="none"/>
        </w:rPr>
        <w:t>年</w:t>
      </w:r>
      <w:r>
        <w:rPr>
          <w:rFonts w:ascii="宋体" w:hAnsi="宋体" w:cs="宋体"/>
          <w:color w:val="auto"/>
          <w:sz w:val="24"/>
          <w:highlight w:val="none"/>
          <w:u w:val="single"/>
        </w:rPr>
        <w:t xml:space="preserve">      </w:t>
      </w:r>
      <w:r>
        <w:rPr>
          <w:rFonts w:ascii="宋体" w:hAnsi="宋体" w:cs="宋体"/>
          <w:color w:val="auto"/>
          <w:sz w:val="24"/>
          <w:highlight w:val="none"/>
        </w:rPr>
        <w:t>月</w:t>
      </w:r>
      <w:r>
        <w:rPr>
          <w:rFonts w:ascii="宋体" w:hAnsi="宋体" w:cs="宋体"/>
          <w:color w:val="auto"/>
          <w:sz w:val="24"/>
          <w:highlight w:val="none"/>
          <w:u w:val="single"/>
        </w:rPr>
        <w:t xml:space="preserve">      </w:t>
      </w:r>
      <w:r>
        <w:rPr>
          <w:rFonts w:ascii="宋体" w:hAnsi="宋体" w:cs="宋体"/>
          <w:color w:val="auto"/>
          <w:sz w:val="24"/>
          <w:highlight w:val="none"/>
        </w:rPr>
        <w:t>日</w:t>
      </w:r>
    </w:p>
    <w:p w14:paraId="3FDB0D8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b/>
          <w:color w:val="auto"/>
          <w:sz w:val="24"/>
          <w:highlight w:val="none"/>
        </w:rPr>
      </w:pPr>
      <w:r>
        <w:rPr>
          <w:rFonts w:ascii="宋体" w:hAnsi="宋体" w:cs="宋体"/>
          <w:b/>
          <w:color w:val="auto"/>
          <w:sz w:val="24"/>
          <w:highlight w:val="none"/>
        </w:rPr>
        <w:br w:type="page"/>
      </w:r>
      <w:r>
        <w:rPr>
          <w:rFonts w:ascii="宋体" w:hAnsi="宋体" w:cs="宋体"/>
          <w:b/>
          <w:color w:val="auto"/>
          <w:sz w:val="24"/>
          <w:highlight w:val="none"/>
        </w:rPr>
        <w:t>目    录</w:t>
      </w:r>
    </w:p>
    <w:p w14:paraId="654128A1">
      <w:pPr>
        <w:keepNext w:val="0"/>
        <w:keepLines w:val="0"/>
        <w:pageBreakBefore w:val="0"/>
        <w:widowControl w:val="0"/>
        <w:tabs>
          <w:tab w:val="left" w:pos="315"/>
        </w:tabs>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highlight w:val="none"/>
        </w:rPr>
      </w:pPr>
      <w:bookmarkStart w:id="23" w:name="_Toc31359_WPSOffice_Level1"/>
      <w:bookmarkStart w:id="24" w:name="_Toc381880851"/>
      <w:r>
        <w:rPr>
          <w:rFonts w:ascii="宋体" w:hAnsi="宋体" w:cs="宋体"/>
          <w:color w:val="auto"/>
          <w:sz w:val="24"/>
          <w:highlight w:val="none"/>
        </w:rPr>
        <w:t>1、价格部分</w:t>
      </w:r>
      <w:bookmarkEnd w:id="23"/>
    </w:p>
    <w:p w14:paraId="72D6CF54">
      <w:pPr>
        <w:keepNext w:val="0"/>
        <w:keepLines w:val="0"/>
        <w:pageBreakBefore w:val="0"/>
        <w:widowControl w:val="0"/>
        <w:tabs>
          <w:tab w:val="left" w:pos="315"/>
        </w:tabs>
        <w:kinsoku/>
        <w:wordWrap/>
        <w:overflowPunct/>
        <w:topLinePunct w:val="0"/>
        <w:autoSpaceDE/>
        <w:autoSpaceDN/>
        <w:bidi w:val="0"/>
        <w:adjustRightInd/>
        <w:snapToGrid w:val="0"/>
        <w:spacing w:line="480" w:lineRule="exact"/>
        <w:ind w:firstLine="480" w:firstLineChars="200"/>
        <w:textAlignment w:val="auto"/>
        <w:rPr>
          <w:rFonts w:hint="default" w:eastAsia="宋体"/>
          <w:color w:val="auto"/>
          <w:highlight w:val="none"/>
          <w:lang w:val="en-US" w:eastAsia="zh-CN"/>
        </w:rPr>
      </w:pPr>
      <w:r>
        <w:rPr>
          <w:rFonts w:ascii="宋体" w:hAnsi="宋体" w:cs="宋体"/>
          <w:color w:val="auto"/>
          <w:sz w:val="24"/>
          <w:highlight w:val="none"/>
        </w:rPr>
        <w:t>1.1</w:t>
      </w:r>
      <w:r>
        <w:rPr>
          <w:rFonts w:hint="eastAsia" w:ascii="宋体" w:hAnsi="宋体" w:cs="宋体"/>
          <w:color w:val="auto"/>
          <w:sz w:val="24"/>
          <w:highlight w:val="none"/>
          <w:lang w:eastAsia="zh-CN"/>
        </w:rPr>
        <w:t>初次报价表</w:t>
      </w:r>
    </w:p>
    <w:p w14:paraId="1990F190">
      <w:pPr>
        <w:keepNext w:val="0"/>
        <w:keepLines w:val="0"/>
        <w:pageBreakBefore w:val="0"/>
        <w:widowControl w:val="0"/>
        <w:tabs>
          <w:tab w:val="left" w:pos="315"/>
        </w:tabs>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highlight w:val="none"/>
        </w:rPr>
      </w:pPr>
      <w:bookmarkStart w:id="25" w:name="_Toc23426_WPSOffice_Level1"/>
      <w:r>
        <w:rPr>
          <w:rFonts w:ascii="宋体" w:hAnsi="宋体" w:cs="宋体"/>
          <w:color w:val="auto"/>
          <w:sz w:val="24"/>
          <w:highlight w:val="none"/>
        </w:rPr>
        <w:t>2、技术部分</w:t>
      </w:r>
      <w:bookmarkEnd w:id="25"/>
    </w:p>
    <w:p w14:paraId="62236C79">
      <w:pPr>
        <w:keepNext w:val="0"/>
        <w:keepLines w:val="0"/>
        <w:pageBreakBefore w:val="0"/>
        <w:widowControl w:val="0"/>
        <w:tabs>
          <w:tab w:val="left" w:pos="315"/>
        </w:tabs>
        <w:kinsoku/>
        <w:wordWrap/>
        <w:overflowPunct/>
        <w:topLinePunct w:val="0"/>
        <w:autoSpaceDE/>
        <w:autoSpaceDN/>
        <w:bidi w:val="0"/>
        <w:adjustRightInd/>
        <w:snapToGrid w:val="0"/>
        <w:spacing w:line="480" w:lineRule="exact"/>
        <w:ind w:firstLine="480" w:firstLineChars="200"/>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2.1人员配备</w:t>
      </w:r>
    </w:p>
    <w:p w14:paraId="53B8EE27">
      <w:pPr>
        <w:keepNext w:val="0"/>
        <w:keepLines w:val="0"/>
        <w:pageBreakBefore w:val="0"/>
        <w:widowControl w:val="0"/>
        <w:tabs>
          <w:tab w:val="left" w:pos="315"/>
        </w:tabs>
        <w:kinsoku/>
        <w:wordWrap/>
        <w:overflowPunct/>
        <w:topLinePunct w:val="0"/>
        <w:autoSpaceDE/>
        <w:autoSpaceDN/>
        <w:bidi w:val="0"/>
        <w:adjustRightInd/>
        <w:snapToGrid w:val="0"/>
        <w:spacing w:line="480" w:lineRule="exact"/>
        <w:ind w:firstLine="480" w:firstLineChars="200"/>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2.2绿化养护服务方案</w:t>
      </w:r>
    </w:p>
    <w:p w14:paraId="7B59C40F">
      <w:pPr>
        <w:keepNext w:val="0"/>
        <w:keepLines w:val="0"/>
        <w:pageBreakBefore w:val="0"/>
        <w:widowControl w:val="0"/>
        <w:tabs>
          <w:tab w:val="left" w:pos="315"/>
        </w:tabs>
        <w:kinsoku/>
        <w:wordWrap/>
        <w:overflowPunct/>
        <w:topLinePunct w:val="0"/>
        <w:autoSpaceDE/>
        <w:autoSpaceDN/>
        <w:bidi w:val="0"/>
        <w:adjustRightInd/>
        <w:snapToGrid w:val="0"/>
        <w:spacing w:line="480" w:lineRule="exact"/>
        <w:ind w:firstLine="480" w:firstLineChars="200"/>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2.3绿化养护质量保证措施</w:t>
      </w:r>
    </w:p>
    <w:p w14:paraId="5D803729">
      <w:pPr>
        <w:keepNext w:val="0"/>
        <w:keepLines w:val="0"/>
        <w:pageBreakBefore w:val="0"/>
        <w:widowControl w:val="0"/>
        <w:tabs>
          <w:tab w:val="left" w:pos="315"/>
        </w:tabs>
        <w:kinsoku/>
        <w:wordWrap/>
        <w:overflowPunct/>
        <w:topLinePunct w:val="0"/>
        <w:autoSpaceDE/>
        <w:autoSpaceDN/>
        <w:bidi w:val="0"/>
        <w:adjustRightInd/>
        <w:snapToGrid w:val="0"/>
        <w:spacing w:line="480" w:lineRule="exact"/>
        <w:ind w:firstLine="480" w:firstLineChars="200"/>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2.4绿化带环境卫生处理措施</w:t>
      </w:r>
    </w:p>
    <w:p w14:paraId="1F65B901">
      <w:pPr>
        <w:keepNext w:val="0"/>
        <w:keepLines w:val="0"/>
        <w:pageBreakBefore w:val="0"/>
        <w:widowControl w:val="0"/>
        <w:tabs>
          <w:tab w:val="left" w:pos="315"/>
        </w:tabs>
        <w:kinsoku/>
        <w:wordWrap/>
        <w:overflowPunct/>
        <w:topLinePunct w:val="0"/>
        <w:autoSpaceDE/>
        <w:autoSpaceDN/>
        <w:bidi w:val="0"/>
        <w:adjustRightInd/>
        <w:snapToGrid w:val="0"/>
        <w:spacing w:line="480" w:lineRule="exact"/>
        <w:ind w:firstLine="480" w:firstLineChars="200"/>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2.5冬季、雨季养护措施</w:t>
      </w:r>
    </w:p>
    <w:p w14:paraId="01C4C49D">
      <w:pPr>
        <w:keepNext w:val="0"/>
        <w:keepLines w:val="0"/>
        <w:pageBreakBefore w:val="0"/>
        <w:widowControl w:val="0"/>
        <w:tabs>
          <w:tab w:val="left" w:pos="315"/>
        </w:tabs>
        <w:kinsoku/>
        <w:wordWrap/>
        <w:overflowPunct/>
        <w:topLinePunct w:val="0"/>
        <w:autoSpaceDE/>
        <w:autoSpaceDN/>
        <w:bidi w:val="0"/>
        <w:adjustRightInd/>
        <w:snapToGrid w:val="0"/>
        <w:spacing w:line="480" w:lineRule="exact"/>
        <w:ind w:firstLine="480" w:firstLineChars="200"/>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2.6应急措施及防治措施</w:t>
      </w:r>
    </w:p>
    <w:p w14:paraId="7DBA6001">
      <w:pPr>
        <w:keepNext w:val="0"/>
        <w:keepLines w:val="0"/>
        <w:pageBreakBefore w:val="0"/>
        <w:widowControl w:val="0"/>
        <w:tabs>
          <w:tab w:val="left" w:pos="315"/>
        </w:tabs>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highlight w:val="none"/>
        </w:rPr>
      </w:pPr>
      <w:bookmarkStart w:id="26" w:name="_Toc11042_WPSOffice_Level1"/>
      <w:r>
        <w:rPr>
          <w:rFonts w:ascii="宋体" w:hAnsi="宋体" w:cs="宋体"/>
          <w:color w:val="auto"/>
          <w:sz w:val="24"/>
          <w:highlight w:val="none"/>
        </w:rPr>
        <w:t>3、商务部分</w:t>
      </w:r>
      <w:bookmarkEnd w:id="26"/>
    </w:p>
    <w:p w14:paraId="19F53D56">
      <w:pPr>
        <w:keepNext w:val="0"/>
        <w:keepLines w:val="0"/>
        <w:pageBreakBefore w:val="0"/>
        <w:widowControl w:val="0"/>
        <w:tabs>
          <w:tab w:val="left" w:pos="315"/>
        </w:tabs>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3.1响应供应商声明函</w:t>
      </w:r>
    </w:p>
    <w:p w14:paraId="17384D27">
      <w:pPr>
        <w:keepNext w:val="0"/>
        <w:keepLines w:val="0"/>
        <w:pageBreakBefore w:val="0"/>
        <w:widowControl w:val="0"/>
        <w:tabs>
          <w:tab w:val="left" w:pos="315"/>
        </w:tabs>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3.2营业执照副本复印件</w:t>
      </w:r>
    </w:p>
    <w:p w14:paraId="7979EB3F">
      <w:pPr>
        <w:keepNext w:val="0"/>
        <w:keepLines w:val="0"/>
        <w:pageBreakBefore w:val="0"/>
        <w:widowControl w:val="0"/>
        <w:tabs>
          <w:tab w:val="left" w:pos="315"/>
        </w:tabs>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highlight w:val="none"/>
        </w:rPr>
      </w:pPr>
      <w:r>
        <w:rPr>
          <w:rFonts w:ascii="宋体" w:hAnsi="宋体" w:cs="宋体"/>
          <w:color w:val="auto"/>
          <w:sz w:val="24"/>
          <w:highlight w:val="none"/>
        </w:rPr>
        <w:t>3.3法定代表人授权书复印件</w:t>
      </w:r>
    </w:p>
    <w:p w14:paraId="2F095B22">
      <w:pPr>
        <w:keepNext w:val="0"/>
        <w:keepLines w:val="0"/>
        <w:pageBreakBefore w:val="0"/>
        <w:widowControl w:val="0"/>
        <w:tabs>
          <w:tab w:val="left" w:pos="315"/>
        </w:tabs>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highlight w:val="none"/>
          <w:lang w:eastAsia="zh-CN"/>
        </w:rPr>
      </w:pPr>
      <w:r>
        <w:rPr>
          <w:rFonts w:ascii="宋体" w:hAnsi="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供应商缴纳税收和社会保障资金等证明告知承诺书</w:t>
      </w:r>
    </w:p>
    <w:p w14:paraId="337A114D">
      <w:pPr>
        <w:keepNext w:val="0"/>
        <w:keepLines w:val="0"/>
        <w:pageBreakBefore w:val="0"/>
        <w:widowControl w:val="0"/>
        <w:tabs>
          <w:tab w:val="left" w:pos="315"/>
        </w:tabs>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lang w:val="en-US" w:eastAsia="zh-CN"/>
        </w:rPr>
        <w:t>5</w:t>
      </w:r>
      <w:r>
        <w:rPr>
          <w:rFonts w:ascii="宋体" w:hAnsi="宋体" w:cs="宋体"/>
          <w:color w:val="auto"/>
          <w:sz w:val="24"/>
          <w:highlight w:val="none"/>
        </w:rPr>
        <w:t>采购人要求响应供应商递交的其他资格审查材料</w:t>
      </w:r>
    </w:p>
    <w:p w14:paraId="0EC3E3C3">
      <w:pPr>
        <w:keepNext w:val="0"/>
        <w:keepLines w:val="0"/>
        <w:pageBreakBefore w:val="0"/>
        <w:widowControl w:val="0"/>
        <w:tabs>
          <w:tab w:val="left" w:pos="315"/>
        </w:tabs>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highlight w:val="none"/>
        </w:rPr>
      </w:pPr>
      <w:bookmarkStart w:id="27" w:name="_Toc20476_WPSOffice_Level1"/>
      <w:r>
        <w:rPr>
          <w:rFonts w:ascii="宋体" w:hAnsi="宋体" w:cs="宋体"/>
          <w:color w:val="auto"/>
          <w:sz w:val="24"/>
          <w:highlight w:val="none"/>
        </w:rPr>
        <w:t>4、其他部分</w:t>
      </w:r>
      <w:bookmarkEnd w:id="24"/>
      <w:bookmarkEnd w:id="27"/>
    </w:p>
    <w:p w14:paraId="3877B2BC">
      <w:pPr>
        <w:keepNext w:val="0"/>
        <w:keepLines w:val="0"/>
        <w:pageBreakBefore w:val="0"/>
        <w:widowControl w:val="0"/>
        <w:tabs>
          <w:tab w:val="left" w:pos="315"/>
        </w:tabs>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lang w:val="en-US" w:eastAsia="zh-CN"/>
        </w:rPr>
        <w:t>1</w:t>
      </w:r>
      <w:r>
        <w:rPr>
          <w:rFonts w:ascii="宋体" w:hAnsi="宋体" w:cs="宋体"/>
          <w:color w:val="auto"/>
          <w:sz w:val="24"/>
          <w:highlight w:val="none"/>
        </w:rPr>
        <w:t>响应供应商认为需要提供的其他材料</w:t>
      </w:r>
    </w:p>
    <w:p w14:paraId="281B2BAF">
      <w:pPr>
        <w:keepNext w:val="0"/>
        <w:keepLines w:val="0"/>
        <w:pageBreakBefore w:val="0"/>
        <w:widowControl w:val="0"/>
        <w:tabs>
          <w:tab w:val="left" w:pos="315"/>
        </w:tabs>
        <w:kinsoku/>
        <w:wordWrap/>
        <w:overflowPunct/>
        <w:topLinePunct w:val="0"/>
        <w:autoSpaceDE/>
        <w:autoSpaceDN/>
        <w:bidi w:val="0"/>
        <w:adjustRightInd/>
        <w:snapToGrid w:val="0"/>
        <w:spacing w:line="480" w:lineRule="exact"/>
        <w:ind w:firstLine="482" w:firstLineChars="200"/>
        <w:jc w:val="center"/>
        <w:textAlignment w:val="auto"/>
        <w:rPr>
          <w:rFonts w:ascii="宋体" w:hAnsi="宋体" w:cs="宋体"/>
          <w:b/>
          <w:color w:val="auto"/>
          <w:sz w:val="24"/>
          <w:highlight w:val="none"/>
        </w:rPr>
      </w:pPr>
      <w:r>
        <w:rPr>
          <w:rFonts w:ascii="宋体" w:hAnsi="宋体" w:cs="宋体"/>
          <w:b/>
          <w:color w:val="auto"/>
          <w:sz w:val="24"/>
          <w:highlight w:val="none"/>
        </w:rPr>
        <w:br w:type="page"/>
      </w:r>
      <w:r>
        <w:rPr>
          <w:rFonts w:ascii="宋体" w:hAnsi="宋体" w:cs="宋体"/>
          <w:b/>
          <w:color w:val="auto"/>
          <w:sz w:val="24"/>
          <w:highlight w:val="none"/>
        </w:rPr>
        <w:t>一、价格部分</w:t>
      </w:r>
    </w:p>
    <w:p w14:paraId="594E2BBC">
      <w:pPr>
        <w:spacing w:line="560" w:lineRule="exact"/>
        <w:jc w:val="center"/>
        <w:rPr>
          <w:rFonts w:hint="eastAsia" w:ascii="宋体" w:hAnsi="宋体" w:eastAsia="宋体" w:cs="宋体"/>
          <w:b/>
          <w:color w:val="auto"/>
          <w:sz w:val="24"/>
          <w:highlight w:val="none"/>
          <w:lang w:eastAsia="zh-CN"/>
        </w:rPr>
      </w:pPr>
      <w:r>
        <w:rPr>
          <w:rFonts w:ascii="宋体" w:hAnsi="宋体" w:cs="宋体"/>
          <w:color w:val="auto"/>
          <w:sz w:val="24"/>
          <w:highlight w:val="none"/>
        </w:rPr>
        <w:t>1.1</w:t>
      </w:r>
      <w:r>
        <w:rPr>
          <w:rFonts w:hint="eastAsia" w:ascii="宋体" w:hAnsi="宋体" w:cs="宋体"/>
          <w:color w:val="auto"/>
          <w:sz w:val="24"/>
          <w:highlight w:val="none"/>
          <w:lang w:eastAsia="zh-CN"/>
        </w:rPr>
        <w:t>初次报价表</w:t>
      </w:r>
    </w:p>
    <w:p w14:paraId="64FDCAE6">
      <w:pPr>
        <w:spacing w:line="560" w:lineRule="exact"/>
        <w:ind w:left="206" w:right="555"/>
        <w:jc w:val="right"/>
        <w:rPr>
          <w:rFonts w:ascii="宋体" w:hAnsi="宋体" w:cs="宋体"/>
          <w:color w:val="auto"/>
          <w:sz w:val="24"/>
          <w:highlight w:val="none"/>
        </w:rPr>
      </w:pPr>
      <w:r>
        <w:rPr>
          <w:rFonts w:ascii="宋体" w:hAnsi="宋体" w:cs="宋体"/>
          <w:color w:val="auto"/>
          <w:sz w:val="24"/>
          <w:highlight w:val="none"/>
        </w:rPr>
        <w:t>货币单位：元</w:t>
      </w:r>
    </w:p>
    <w:tbl>
      <w:tblPr>
        <w:tblStyle w:val="13"/>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950"/>
      </w:tblGrid>
      <w:tr w14:paraId="7975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905" w:type="dxa"/>
            <w:noWrap w:val="0"/>
            <w:vAlign w:val="center"/>
          </w:tcPr>
          <w:p w14:paraId="5AE2623B">
            <w:pPr>
              <w:spacing w:line="560" w:lineRule="exact"/>
              <w:jc w:val="center"/>
              <w:rPr>
                <w:rFonts w:ascii="宋体" w:hAnsi="宋体" w:cs="宋体"/>
                <w:color w:val="auto"/>
                <w:sz w:val="24"/>
                <w:highlight w:val="none"/>
              </w:rPr>
            </w:pPr>
            <w:r>
              <w:rPr>
                <w:rFonts w:ascii="宋体" w:hAnsi="宋体" w:cs="宋体"/>
                <w:color w:val="auto"/>
                <w:sz w:val="24"/>
                <w:highlight w:val="none"/>
              </w:rPr>
              <w:t>响应供应商（名称及盖章）</w:t>
            </w:r>
          </w:p>
        </w:tc>
        <w:tc>
          <w:tcPr>
            <w:tcW w:w="6950" w:type="dxa"/>
            <w:noWrap w:val="0"/>
            <w:vAlign w:val="center"/>
          </w:tcPr>
          <w:p w14:paraId="4DDB7B3A">
            <w:pPr>
              <w:spacing w:line="560" w:lineRule="exact"/>
              <w:jc w:val="center"/>
              <w:rPr>
                <w:rFonts w:ascii="宋体" w:hAnsi="宋体" w:cs="宋体"/>
                <w:color w:val="auto"/>
                <w:sz w:val="24"/>
                <w:highlight w:val="none"/>
              </w:rPr>
            </w:pPr>
          </w:p>
        </w:tc>
      </w:tr>
      <w:tr w14:paraId="05D5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905" w:type="dxa"/>
            <w:noWrap w:val="0"/>
            <w:vAlign w:val="center"/>
          </w:tcPr>
          <w:p w14:paraId="011F4203">
            <w:pPr>
              <w:spacing w:line="560" w:lineRule="exact"/>
              <w:jc w:val="center"/>
              <w:rPr>
                <w:rFonts w:ascii="宋体" w:hAnsi="宋体" w:cs="宋体"/>
                <w:color w:val="auto"/>
                <w:sz w:val="24"/>
                <w:highlight w:val="none"/>
              </w:rPr>
            </w:pPr>
            <w:r>
              <w:rPr>
                <w:rFonts w:ascii="宋体" w:hAnsi="宋体" w:cs="宋体"/>
                <w:color w:val="auto"/>
                <w:sz w:val="24"/>
                <w:highlight w:val="none"/>
              </w:rPr>
              <w:t>项目名称</w:t>
            </w:r>
          </w:p>
        </w:tc>
        <w:tc>
          <w:tcPr>
            <w:tcW w:w="6950" w:type="dxa"/>
            <w:noWrap w:val="0"/>
            <w:vAlign w:val="center"/>
          </w:tcPr>
          <w:p w14:paraId="47864DCA">
            <w:pPr>
              <w:spacing w:line="560" w:lineRule="exact"/>
              <w:jc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eastAsia="zh-CN"/>
              </w:rPr>
              <w:t>邹城市钢山街道邹鲁苑公园绿化养护管理服务项目</w:t>
            </w:r>
          </w:p>
        </w:tc>
      </w:tr>
      <w:tr w14:paraId="4D366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2905" w:type="dxa"/>
            <w:noWrap w:val="0"/>
            <w:vAlign w:val="center"/>
          </w:tcPr>
          <w:p w14:paraId="6BA678FD">
            <w:pPr>
              <w:spacing w:line="560" w:lineRule="exact"/>
              <w:jc w:val="center"/>
              <w:rPr>
                <w:rFonts w:ascii="宋体" w:hAnsi="宋体" w:cs="宋体"/>
                <w:color w:val="auto"/>
                <w:sz w:val="24"/>
                <w:highlight w:val="none"/>
              </w:rPr>
            </w:pPr>
            <w:r>
              <w:rPr>
                <w:rFonts w:ascii="宋体" w:hAnsi="宋体" w:cs="宋体"/>
                <w:color w:val="auto"/>
                <w:sz w:val="24"/>
                <w:highlight w:val="none"/>
              </w:rPr>
              <w:t>服务总报价（元）</w:t>
            </w:r>
          </w:p>
        </w:tc>
        <w:tc>
          <w:tcPr>
            <w:tcW w:w="6950" w:type="dxa"/>
            <w:noWrap w:val="0"/>
            <w:vAlign w:val="center"/>
          </w:tcPr>
          <w:p w14:paraId="18545E6B">
            <w:pPr>
              <w:spacing w:line="560" w:lineRule="exact"/>
              <w:rPr>
                <w:rFonts w:ascii="宋体" w:hAnsi="宋体" w:cs="宋体"/>
                <w:color w:val="auto"/>
                <w:sz w:val="24"/>
                <w:highlight w:val="none"/>
              </w:rPr>
            </w:pPr>
            <w:r>
              <w:rPr>
                <w:rFonts w:ascii="宋体" w:hAnsi="宋体" w:cs="宋体"/>
                <w:color w:val="auto"/>
                <w:sz w:val="24"/>
                <w:highlight w:val="none"/>
              </w:rPr>
              <w:t>小写：</w:t>
            </w:r>
          </w:p>
          <w:p w14:paraId="6A02EC6E">
            <w:pPr>
              <w:spacing w:line="560" w:lineRule="exact"/>
              <w:rPr>
                <w:rFonts w:ascii="宋体" w:hAnsi="宋体" w:cs="宋体"/>
                <w:color w:val="auto"/>
                <w:sz w:val="24"/>
                <w:highlight w:val="none"/>
              </w:rPr>
            </w:pPr>
            <w:r>
              <w:rPr>
                <w:rFonts w:ascii="宋体" w:hAnsi="宋体" w:cs="宋体"/>
                <w:color w:val="auto"/>
                <w:sz w:val="24"/>
                <w:highlight w:val="none"/>
              </w:rPr>
              <w:t>大写：</w:t>
            </w:r>
          </w:p>
        </w:tc>
      </w:tr>
      <w:tr w14:paraId="6D8DE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905" w:type="dxa"/>
            <w:noWrap w:val="0"/>
            <w:vAlign w:val="center"/>
          </w:tcPr>
          <w:p w14:paraId="49C60FF3">
            <w:pPr>
              <w:spacing w:line="5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服务期限（年）</w:t>
            </w:r>
          </w:p>
        </w:tc>
        <w:tc>
          <w:tcPr>
            <w:tcW w:w="6950" w:type="dxa"/>
            <w:noWrap w:val="0"/>
            <w:vAlign w:val="center"/>
          </w:tcPr>
          <w:p w14:paraId="127632FA">
            <w:pPr>
              <w:spacing w:line="560" w:lineRule="exact"/>
              <w:jc w:val="center"/>
              <w:rPr>
                <w:rFonts w:ascii="宋体" w:hAnsi="宋体" w:cs="宋体"/>
                <w:color w:val="auto"/>
                <w:sz w:val="24"/>
                <w:highlight w:val="none"/>
              </w:rPr>
            </w:pPr>
          </w:p>
        </w:tc>
      </w:tr>
      <w:tr w14:paraId="6BAD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2905" w:type="dxa"/>
            <w:noWrap w:val="0"/>
            <w:vAlign w:val="center"/>
          </w:tcPr>
          <w:p w14:paraId="48D87C15">
            <w:pPr>
              <w:spacing w:line="560" w:lineRule="exact"/>
              <w:jc w:val="center"/>
              <w:rPr>
                <w:rFonts w:ascii="宋体" w:hAnsi="宋体" w:cs="宋体"/>
                <w:color w:val="auto"/>
                <w:sz w:val="24"/>
                <w:highlight w:val="none"/>
              </w:rPr>
            </w:pPr>
            <w:r>
              <w:rPr>
                <w:rFonts w:ascii="宋体" w:hAnsi="宋体" w:cs="宋体"/>
                <w:color w:val="auto"/>
                <w:sz w:val="24"/>
                <w:highlight w:val="none"/>
              </w:rPr>
              <w:t>法定代表人或授权代表</w:t>
            </w:r>
          </w:p>
          <w:p w14:paraId="6A5A1384">
            <w:pPr>
              <w:spacing w:line="560" w:lineRule="exact"/>
              <w:jc w:val="center"/>
              <w:rPr>
                <w:rFonts w:ascii="宋体" w:hAnsi="宋体" w:cs="宋体"/>
                <w:color w:val="auto"/>
                <w:sz w:val="24"/>
                <w:highlight w:val="none"/>
              </w:rPr>
            </w:pPr>
            <w:r>
              <w:rPr>
                <w:rFonts w:ascii="宋体" w:hAnsi="宋体" w:cs="宋体"/>
                <w:color w:val="auto"/>
                <w:sz w:val="24"/>
                <w:highlight w:val="none"/>
              </w:rPr>
              <w:t>（签字或盖章）</w:t>
            </w:r>
          </w:p>
        </w:tc>
        <w:tc>
          <w:tcPr>
            <w:tcW w:w="6950" w:type="dxa"/>
            <w:noWrap w:val="0"/>
            <w:vAlign w:val="center"/>
          </w:tcPr>
          <w:p w14:paraId="30C9D549">
            <w:pPr>
              <w:spacing w:line="560" w:lineRule="exact"/>
              <w:jc w:val="center"/>
              <w:rPr>
                <w:rFonts w:ascii="宋体" w:hAnsi="宋体" w:cs="宋体"/>
                <w:color w:val="auto"/>
                <w:sz w:val="24"/>
                <w:highlight w:val="none"/>
              </w:rPr>
            </w:pPr>
          </w:p>
        </w:tc>
      </w:tr>
      <w:tr w14:paraId="6A880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855" w:type="dxa"/>
            <w:gridSpan w:val="2"/>
            <w:noWrap w:val="0"/>
            <w:vAlign w:val="center"/>
          </w:tcPr>
          <w:p w14:paraId="5DE74994">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注：</w:t>
            </w:r>
            <w:r>
              <w:rPr>
                <w:rFonts w:hint="eastAsia" w:ascii="宋体" w:hAnsi="宋体" w:eastAsia="宋体" w:cs="宋体"/>
                <w:color w:val="auto"/>
                <w:sz w:val="24"/>
                <w:highlight w:val="none"/>
              </w:rPr>
              <w:t>本项目为“交钥匙”项目，磋商响应方的报价应是实施、完成本采购项目以及履行磋商文件中约定的所有责任和义务所发生的全部费用。供应商无论何种原因造成报价各项的遗漏，其风险自担。本项目报价应含：人工费、材料费、机械（清扫、洒水、冲洗）费、设备工具费、农药费、肥料费、养护费、苗木补植费（即养护期间死亡苗木补植的苗木费用）园林有机物无害化处理费、保险、管理费、不可预见费及政策性文件规定及合同包含的所有风险等全部费用。其中，磋商代理服务费应分摊在报价中。</w:t>
            </w:r>
          </w:p>
        </w:tc>
      </w:tr>
    </w:tbl>
    <w:p w14:paraId="19212B1C">
      <w:pPr>
        <w:spacing w:line="560" w:lineRule="exact"/>
        <w:ind w:firstLine="480" w:firstLineChars="200"/>
        <w:jc w:val="right"/>
        <w:rPr>
          <w:rFonts w:ascii="宋体" w:hAnsi="宋体" w:cs="宋体"/>
          <w:color w:val="auto"/>
          <w:sz w:val="24"/>
          <w:highlight w:val="none"/>
        </w:rPr>
      </w:pPr>
    </w:p>
    <w:p w14:paraId="642FAB18">
      <w:pPr>
        <w:spacing w:line="560" w:lineRule="exact"/>
        <w:ind w:firstLine="480" w:firstLineChars="200"/>
        <w:jc w:val="right"/>
        <w:rPr>
          <w:rFonts w:ascii="宋体" w:hAnsi="宋体" w:cs="宋体"/>
          <w:color w:val="auto"/>
          <w:sz w:val="24"/>
          <w:highlight w:val="none"/>
        </w:rPr>
      </w:pPr>
      <w:r>
        <w:rPr>
          <w:rFonts w:ascii="宋体" w:hAnsi="宋体" w:cs="宋体"/>
          <w:color w:val="auto"/>
          <w:sz w:val="24"/>
          <w:highlight w:val="none"/>
        </w:rPr>
        <w:t>日期：    年    月   日</w:t>
      </w:r>
    </w:p>
    <w:p w14:paraId="0A914F3B">
      <w:pPr>
        <w:rPr>
          <w:rFonts w:ascii="宋体" w:hAnsi="宋体" w:cs="宋体"/>
          <w:color w:val="auto"/>
          <w:sz w:val="24"/>
          <w:highlight w:val="none"/>
        </w:rPr>
      </w:pPr>
      <w:r>
        <w:rPr>
          <w:rFonts w:ascii="宋体" w:hAnsi="宋体" w:cs="宋体"/>
          <w:color w:val="auto"/>
          <w:sz w:val="24"/>
          <w:highlight w:val="none"/>
        </w:rPr>
        <w:br w:type="page"/>
      </w:r>
    </w:p>
    <w:p w14:paraId="2FA0EEA8">
      <w:pPr>
        <w:spacing w:line="560" w:lineRule="exact"/>
        <w:ind w:firstLine="480" w:firstLineChars="20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1.2报价明细表</w:t>
      </w:r>
    </w:p>
    <w:p w14:paraId="23F7234C">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项目名称</w:t>
      </w:r>
      <w:r>
        <w:rPr>
          <w:rFonts w:hint="eastAsia" w:ascii="宋体" w:hAnsi="宋体" w:eastAsia="宋体" w:cs="宋体"/>
          <w:color w:val="auto"/>
          <w:sz w:val="24"/>
          <w:highlight w:val="none"/>
        </w:rPr>
        <w:t>：</w:t>
      </w:r>
      <w:r>
        <w:rPr>
          <w:rFonts w:hint="eastAsia" w:ascii="宋体" w:hAnsi="宋体" w:cs="宋体"/>
          <w:color w:val="auto"/>
          <w:kern w:val="0"/>
          <w:sz w:val="24"/>
          <w:highlight w:val="none"/>
          <w:lang w:eastAsia="zh-CN"/>
        </w:rPr>
        <w:t>邹城市钢山街道邹鲁苑公园绿化养护管理服务项目</w:t>
      </w:r>
    </w:p>
    <w:tbl>
      <w:tblPr>
        <w:tblStyle w:val="13"/>
        <w:tblpPr w:leftFromText="180" w:rightFromText="180" w:vertAnchor="text" w:horzAnchor="page" w:tblpXSpec="center" w:tblpY="430"/>
        <w:tblOverlap w:val="never"/>
        <w:tblW w:w="9548" w:type="dxa"/>
        <w:jc w:val="center"/>
        <w:tblLayout w:type="fixed"/>
        <w:tblCellMar>
          <w:top w:w="0" w:type="dxa"/>
          <w:left w:w="0" w:type="dxa"/>
          <w:bottom w:w="0" w:type="dxa"/>
          <w:right w:w="0" w:type="dxa"/>
        </w:tblCellMar>
      </w:tblPr>
      <w:tblGrid>
        <w:gridCol w:w="615"/>
        <w:gridCol w:w="1655"/>
        <w:gridCol w:w="783"/>
        <w:gridCol w:w="934"/>
        <w:gridCol w:w="1866"/>
        <w:gridCol w:w="950"/>
        <w:gridCol w:w="1725"/>
        <w:gridCol w:w="1020"/>
      </w:tblGrid>
      <w:tr w14:paraId="56E6B735">
        <w:tblPrEx>
          <w:tblCellMar>
            <w:top w:w="0" w:type="dxa"/>
            <w:left w:w="0" w:type="dxa"/>
            <w:bottom w:w="0" w:type="dxa"/>
            <w:right w:w="0" w:type="dxa"/>
          </w:tblCellMar>
        </w:tblPrEx>
        <w:trPr>
          <w:trHeight w:val="91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71463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序号</w:t>
            </w: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ACD63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bidi="ar"/>
              </w:rPr>
              <w:t>服务项目</w:t>
            </w:r>
          </w:p>
        </w:tc>
        <w:tc>
          <w:tcPr>
            <w:tcW w:w="7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64E0F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单位</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B6E54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bidi="ar"/>
              </w:rPr>
              <w:t>数量</w:t>
            </w:r>
          </w:p>
        </w:tc>
        <w:tc>
          <w:tcPr>
            <w:tcW w:w="186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AF10D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单价</w:t>
            </w:r>
          </w:p>
        </w:tc>
        <w:tc>
          <w:tcPr>
            <w:tcW w:w="9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02FAF3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养护期（月）</w:t>
            </w:r>
          </w:p>
        </w:tc>
        <w:tc>
          <w:tcPr>
            <w:tcW w:w="17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0C31F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总</w:t>
            </w:r>
            <w:r>
              <w:rPr>
                <w:rFonts w:hint="eastAsia" w:ascii="宋体" w:hAnsi="宋体" w:eastAsia="宋体" w:cs="宋体"/>
                <w:color w:val="000000"/>
                <w:sz w:val="24"/>
                <w:szCs w:val="24"/>
                <w:highlight w:val="none"/>
                <w:lang w:bidi="ar"/>
              </w:rPr>
              <w:t>价</w:t>
            </w:r>
          </w:p>
        </w:tc>
        <w:tc>
          <w:tcPr>
            <w:tcW w:w="10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E9BD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备注</w:t>
            </w:r>
          </w:p>
        </w:tc>
      </w:tr>
      <w:tr w14:paraId="67413BFC">
        <w:tblPrEx>
          <w:tblCellMar>
            <w:top w:w="0" w:type="dxa"/>
            <w:left w:w="0" w:type="dxa"/>
            <w:bottom w:w="0" w:type="dxa"/>
            <w:right w:w="0" w:type="dxa"/>
          </w:tblCellMar>
        </w:tblPrEx>
        <w:trPr>
          <w:trHeight w:val="1007" w:hRule="atLeast"/>
          <w:jc w:val="center"/>
        </w:trPr>
        <w:tc>
          <w:tcPr>
            <w:tcW w:w="615" w:type="dxa"/>
            <w:tcBorders>
              <w:top w:val="single" w:color="000000" w:sz="4" w:space="0"/>
              <w:left w:val="single" w:color="000000" w:sz="4" w:space="0"/>
              <w:right w:val="single" w:color="000000" w:sz="4" w:space="0"/>
            </w:tcBorders>
            <w:shd w:val="clear" w:color="auto" w:fill="FFFFFF"/>
            <w:noWrap w:val="0"/>
            <w:tcMar>
              <w:top w:w="12" w:type="dxa"/>
              <w:left w:w="12" w:type="dxa"/>
              <w:right w:w="12" w:type="dxa"/>
            </w:tcMar>
            <w:vAlign w:val="center"/>
          </w:tcPr>
          <w:p w14:paraId="2F9812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1</w:t>
            </w:r>
          </w:p>
        </w:tc>
        <w:tc>
          <w:tcPr>
            <w:tcW w:w="1655" w:type="dxa"/>
            <w:tcBorders>
              <w:top w:val="single" w:color="000000" w:sz="4" w:space="0"/>
              <w:left w:val="single" w:color="000000" w:sz="4" w:space="0"/>
              <w:right w:val="single" w:color="000000" w:sz="4" w:space="0"/>
            </w:tcBorders>
            <w:shd w:val="clear" w:color="auto" w:fill="FFFFFF"/>
            <w:noWrap w:val="0"/>
            <w:tcMar>
              <w:top w:w="12" w:type="dxa"/>
              <w:left w:w="12" w:type="dxa"/>
              <w:right w:w="12" w:type="dxa"/>
            </w:tcMar>
            <w:vAlign w:val="center"/>
          </w:tcPr>
          <w:p w14:paraId="5DF9CA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bidi="ar"/>
              </w:rPr>
              <w:t>绿化养护服务</w:t>
            </w:r>
          </w:p>
        </w:tc>
        <w:tc>
          <w:tcPr>
            <w:tcW w:w="783" w:type="dxa"/>
            <w:tcBorders>
              <w:top w:val="single" w:color="000000" w:sz="4" w:space="0"/>
              <w:left w:val="single" w:color="000000" w:sz="4" w:space="0"/>
              <w:right w:val="single" w:color="000000" w:sz="4" w:space="0"/>
            </w:tcBorders>
            <w:shd w:val="clear" w:color="auto" w:fill="FFFFFF"/>
            <w:noWrap w:val="0"/>
            <w:tcMar>
              <w:top w:w="12" w:type="dxa"/>
              <w:left w:w="12" w:type="dxa"/>
              <w:right w:w="12" w:type="dxa"/>
            </w:tcMar>
            <w:vAlign w:val="center"/>
          </w:tcPr>
          <w:p w14:paraId="291B2F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m2</w:t>
            </w:r>
          </w:p>
        </w:tc>
        <w:tc>
          <w:tcPr>
            <w:tcW w:w="934" w:type="dxa"/>
            <w:tcBorders>
              <w:top w:val="single" w:color="000000" w:sz="4" w:space="0"/>
              <w:left w:val="single" w:color="000000" w:sz="4" w:space="0"/>
              <w:right w:val="single" w:color="000000" w:sz="4" w:space="0"/>
            </w:tcBorders>
            <w:shd w:val="clear" w:color="auto" w:fill="FFFFFF"/>
            <w:noWrap w:val="0"/>
            <w:tcMar>
              <w:top w:w="12" w:type="dxa"/>
              <w:left w:w="12" w:type="dxa"/>
              <w:right w:w="12" w:type="dxa"/>
            </w:tcMar>
            <w:vAlign w:val="center"/>
          </w:tcPr>
          <w:p w14:paraId="02B568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44212</w:t>
            </w:r>
          </w:p>
        </w:tc>
        <w:tc>
          <w:tcPr>
            <w:tcW w:w="1866" w:type="dxa"/>
            <w:tcBorders>
              <w:top w:val="single" w:color="000000" w:sz="4" w:space="0"/>
              <w:left w:val="single" w:color="000000" w:sz="4" w:space="0"/>
              <w:right w:val="single" w:color="000000" w:sz="4" w:space="0"/>
            </w:tcBorders>
            <w:shd w:val="clear" w:color="auto" w:fill="FFFFFF"/>
            <w:noWrap w:val="0"/>
            <w:tcMar>
              <w:top w:w="12" w:type="dxa"/>
              <w:left w:w="12" w:type="dxa"/>
              <w:right w:w="12" w:type="dxa"/>
            </w:tcMar>
            <w:vAlign w:val="center"/>
          </w:tcPr>
          <w:p w14:paraId="1EA2F4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元/</w:t>
            </w:r>
            <w:r>
              <w:rPr>
                <w:rFonts w:hint="eastAsia" w:ascii="宋体" w:hAnsi="宋体" w:eastAsia="宋体" w:cs="宋体"/>
                <w:color w:val="000000"/>
                <w:sz w:val="24"/>
                <w:szCs w:val="24"/>
                <w:highlight w:val="none"/>
                <w:lang w:bidi="ar"/>
              </w:rPr>
              <w:t>m2</w:t>
            </w:r>
            <w:r>
              <w:rPr>
                <w:rFonts w:hint="eastAsia" w:ascii="宋体" w:hAnsi="宋体" w:eastAsia="宋体" w:cs="宋体"/>
                <w:color w:val="000000"/>
                <w:sz w:val="24"/>
                <w:szCs w:val="24"/>
                <w:highlight w:val="none"/>
                <w:lang w:val="en-US" w:eastAsia="zh-CN"/>
              </w:rPr>
              <w:t>/月</w:t>
            </w:r>
          </w:p>
        </w:tc>
        <w:tc>
          <w:tcPr>
            <w:tcW w:w="9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FC454B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szCs w:val="24"/>
                <w:highlight w:val="none"/>
                <w:u w:val="single"/>
                <w:lang w:val="en-US" w:eastAsia="zh-CN"/>
              </w:rPr>
            </w:pPr>
            <w:r>
              <w:rPr>
                <w:rFonts w:hint="eastAsia" w:ascii="宋体" w:hAnsi="宋体" w:cs="宋体"/>
                <w:color w:val="000000"/>
                <w:sz w:val="24"/>
                <w:szCs w:val="24"/>
                <w:highlight w:val="none"/>
                <w:u w:val="single"/>
                <w:lang w:val="en-US" w:eastAsia="zh-CN"/>
              </w:rPr>
              <w:t>12</w:t>
            </w:r>
          </w:p>
        </w:tc>
        <w:tc>
          <w:tcPr>
            <w:tcW w:w="17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01FA35D">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元/年</w:t>
            </w:r>
          </w:p>
        </w:tc>
        <w:tc>
          <w:tcPr>
            <w:tcW w:w="10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2353CD2">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highlight w:val="none"/>
              </w:rPr>
            </w:pPr>
          </w:p>
        </w:tc>
      </w:tr>
      <w:tr w14:paraId="32CDED9E">
        <w:tblPrEx>
          <w:tblCellMar>
            <w:top w:w="0" w:type="dxa"/>
            <w:left w:w="0" w:type="dxa"/>
            <w:bottom w:w="0" w:type="dxa"/>
            <w:right w:w="0" w:type="dxa"/>
          </w:tblCellMar>
        </w:tblPrEx>
        <w:trPr>
          <w:trHeight w:val="1007" w:hRule="atLeast"/>
          <w:jc w:val="center"/>
        </w:trPr>
        <w:tc>
          <w:tcPr>
            <w:tcW w:w="615" w:type="dxa"/>
            <w:tcBorders>
              <w:top w:val="single" w:color="000000" w:sz="4" w:space="0"/>
              <w:left w:val="single" w:color="000000" w:sz="4" w:space="0"/>
              <w:right w:val="single" w:color="000000" w:sz="4" w:space="0"/>
            </w:tcBorders>
            <w:shd w:val="clear" w:color="auto" w:fill="FFFFFF"/>
            <w:noWrap w:val="0"/>
            <w:tcMar>
              <w:top w:w="12" w:type="dxa"/>
              <w:left w:w="12" w:type="dxa"/>
              <w:right w:w="12" w:type="dxa"/>
            </w:tcMar>
            <w:vAlign w:val="center"/>
          </w:tcPr>
          <w:p w14:paraId="14D7ED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2</w:t>
            </w:r>
          </w:p>
        </w:tc>
        <w:tc>
          <w:tcPr>
            <w:tcW w:w="1655" w:type="dxa"/>
            <w:tcBorders>
              <w:top w:val="single" w:color="000000" w:sz="4" w:space="0"/>
              <w:left w:val="single" w:color="000000" w:sz="4" w:space="0"/>
              <w:right w:val="single" w:color="000000" w:sz="4" w:space="0"/>
            </w:tcBorders>
            <w:shd w:val="clear" w:color="auto" w:fill="FFFFFF"/>
            <w:noWrap w:val="0"/>
            <w:tcMar>
              <w:top w:w="12" w:type="dxa"/>
              <w:left w:w="12" w:type="dxa"/>
              <w:right w:w="12" w:type="dxa"/>
            </w:tcMar>
            <w:vAlign w:val="center"/>
          </w:tcPr>
          <w:p w14:paraId="0D0AD5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保洁服务</w:t>
            </w:r>
          </w:p>
        </w:tc>
        <w:tc>
          <w:tcPr>
            <w:tcW w:w="783" w:type="dxa"/>
            <w:tcBorders>
              <w:top w:val="single" w:color="000000" w:sz="4" w:space="0"/>
              <w:left w:val="single" w:color="000000" w:sz="4" w:space="0"/>
              <w:right w:val="single" w:color="000000" w:sz="4" w:space="0"/>
            </w:tcBorders>
            <w:shd w:val="clear" w:color="auto" w:fill="FFFFFF"/>
            <w:noWrap w:val="0"/>
            <w:tcMar>
              <w:top w:w="12" w:type="dxa"/>
              <w:left w:w="12" w:type="dxa"/>
              <w:right w:w="12" w:type="dxa"/>
            </w:tcMar>
            <w:vAlign w:val="center"/>
          </w:tcPr>
          <w:p w14:paraId="5AF638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人</w:t>
            </w:r>
          </w:p>
        </w:tc>
        <w:tc>
          <w:tcPr>
            <w:tcW w:w="934" w:type="dxa"/>
            <w:tcBorders>
              <w:top w:val="single" w:color="000000" w:sz="4" w:space="0"/>
              <w:left w:val="single" w:color="000000" w:sz="4" w:space="0"/>
              <w:right w:val="single" w:color="000000" w:sz="4" w:space="0"/>
            </w:tcBorders>
            <w:shd w:val="clear" w:color="auto" w:fill="FFFFFF"/>
            <w:noWrap w:val="0"/>
            <w:tcMar>
              <w:top w:w="12" w:type="dxa"/>
              <w:left w:w="12" w:type="dxa"/>
              <w:right w:w="12" w:type="dxa"/>
            </w:tcMar>
            <w:vAlign w:val="center"/>
          </w:tcPr>
          <w:p w14:paraId="422B09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p>
        </w:tc>
        <w:tc>
          <w:tcPr>
            <w:tcW w:w="1866" w:type="dxa"/>
            <w:tcBorders>
              <w:top w:val="single" w:color="000000" w:sz="4" w:space="0"/>
              <w:left w:val="single" w:color="000000" w:sz="4" w:space="0"/>
              <w:right w:val="single" w:color="000000" w:sz="4" w:space="0"/>
            </w:tcBorders>
            <w:shd w:val="clear" w:color="auto" w:fill="FFFFFF"/>
            <w:noWrap w:val="0"/>
            <w:tcMar>
              <w:top w:w="12" w:type="dxa"/>
              <w:left w:w="12" w:type="dxa"/>
              <w:right w:w="12" w:type="dxa"/>
            </w:tcMar>
            <w:vAlign w:val="center"/>
          </w:tcPr>
          <w:p w14:paraId="77239D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元/人/月</w:t>
            </w:r>
          </w:p>
        </w:tc>
        <w:tc>
          <w:tcPr>
            <w:tcW w:w="9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6B4C64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szCs w:val="24"/>
                <w:highlight w:val="none"/>
                <w:u w:val="single"/>
                <w:lang w:val="en-US" w:eastAsia="zh-CN"/>
              </w:rPr>
            </w:pPr>
            <w:r>
              <w:rPr>
                <w:rFonts w:hint="eastAsia" w:ascii="宋体" w:hAnsi="宋体" w:cs="宋体"/>
                <w:color w:val="000000"/>
                <w:sz w:val="24"/>
                <w:szCs w:val="24"/>
                <w:highlight w:val="none"/>
                <w:u w:val="single"/>
                <w:lang w:val="en-US" w:eastAsia="zh-CN"/>
              </w:rPr>
              <w:t>12</w:t>
            </w:r>
          </w:p>
        </w:tc>
        <w:tc>
          <w:tcPr>
            <w:tcW w:w="17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826D250">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元/年</w:t>
            </w:r>
          </w:p>
        </w:tc>
        <w:tc>
          <w:tcPr>
            <w:tcW w:w="10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3215AD2">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highlight w:val="none"/>
              </w:rPr>
            </w:pPr>
          </w:p>
        </w:tc>
      </w:tr>
      <w:tr w14:paraId="5E223D86">
        <w:tblPrEx>
          <w:tblCellMar>
            <w:top w:w="0" w:type="dxa"/>
            <w:left w:w="0" w:type="dxa"/>
            <w:bottom w:w="0" w:type="dxa"/>
            <w:right w:w="0" w:type="dxa"/>
          </w:tblCellMar>
        </w:tblPrEx>
        <w:trPr>
          <w:trHeight w:val="1007" w:hRule="atLeast"/>
          <w:jc w:val="center"/>
        </w:trPr>
        <w:tc>
          <w:tcPr>
            <w:tcW w:w="615" w:type="dxa"/>
            <w:tcBorders>
              <w:top w:val="single" w:color="000000" w:sz="4" w:space="0"/>
              <w:left w:val="single" w:color="000000" w:sz="4" w:space="0"/>
              <w:right w:val="single" w:color="000000" w:sz="4" w:space="0"/>
            </w:tcBorders>
            <w:shd w:val="clear" w:color="auto" w:fill="FFFFFF"/>
            <w:noWrap w:val="0"/>
            <w:tcMar>
              <w:top w:w="12" w:type="dxa"/>
              <w:left w:w="12" w:type="dxa"/>
              <w:right w:w="12" w:type="dxa"/>
            </w:tcMar>
            <w:vAlign w:val="center"/>
          </w:tcPr>
          <w:p w14:paraId="6C5722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3</w:t>
            </w:r>
          </w:p>
        </w:tc>
        <w:tc>
          <w:tcPr>
            <w:tcW w:w="1655" w:type="dxa"/>
            <w:tcBorders>
              <w:top w:val="single" w:color="000000" w:sz="4" w:space="0"/>
              <w:left w:val="single" w:color="000000" w:sz="4" w:space="0"/>
              <w:right w:val="single" w:color="000000" w:sz="4" w:space="0"/>
            </w:tcBorders>
            <w:shd w:val="clear" w:color="auto" w:fill="FFFFFF"/>
            <w:noWrap w:val="0"/>
            <w:tcMar>
              <w:top w:w="12" w:type="dxa"/>
              <w:left w:w="12" w:type="dxa"/>
              <w:right w:w="12" w:type="dxa"/>
            </w:tcMar>
            <w:vAlign w:val="center"/>
          </w:tcPr>
          <w:p w14:paraId="305B9D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保安服务</w:t>
            </w:r>
          </w:p>
        </w:tc>
        <w:tc>
          <w:tcPr>
            <w:tcW w:w="783" w:type="dxa"/>
            <w:tcBorders>
              <w:top w:val="single" w:color="000000" w:sz="4" w:space="0"/>
              <w:left w:val="single" w:color="000000" w:sz="4" w:space="0"/>
              <w:right w:val="single" w:color="000000" w:sz="4" w:space="0"/>
            </w:tcBorders>
            <w:shd w:val="clear" w:color="auto" w:fill="FFFFFF"/>
            <w:noWrap w:val="0"/>
            <w:tcMar>
              <w:top w:w="12" w:type="dxa"/>
              <w:left w:w="12" w:type="dxa"/>
              <w:right w:w="12" w:type="dxa"/>
            </w:tcMar>
            <w:vAlign w:val="center"/>
          </w:tcPr>
          <w:p w14:paraId="2E6B9F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人</w:t>
            </w:r>
          </w:p>
        </w:tc>
        <w:tc>
          <w:tcPr>
            <w:tcW w:w="934" w:type="dxa"/>
            <w:tcBorders>
              <w:top w:val="single" w:color="000000" w:sz="4" w:space="0"/>
              <w:left w:val="single" w:color="000000" w:sz="4" w:space="0"/>
              <w:right w:val="single" w:color="000000" w:sz="4" w:space="0"/>
            </w:tcBorders>
            <w:shd w:val="clear" w:color="auto" w:fill="FFFFFF"/>
            <w:noWrap w:val="0"/>
            <w:tcMar>
              <w:top w:w="12" w:type="dxa"/>
              <w:left w:w="12" w:type="dxa"/>
              <w:right w:w="12" w:type="dxa"/>
            </w:tcMar>
            <w:vAlign w:val="center"/>
          </w:tcPr>
          <w:p w14:paraId="731C20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p>
        </w:tc>
        <w:tc>
          <w:tcPr>
            <w:tcW w:w="1866" w:type="dxa"/>
            <w:tcBorders>
              <w:top w:val="single" w:color="000000" w:sz="4" w:space="0"/>
              <w:left w:val="single" w:color="000000" w:sz="4" w:space="0"/>
              <w:right w:val="single" w:color="000000" w:sz="4" w:space="0"/>
            </w:tcBorders>
            <w:shd w:val="clear" w:color="auto" w:fill="FFFFFF"/>
            <w:noWrap w:val="0"/>
            <w:tcMar>
              <w:top w:w="12" w:type="dxa"/>
              <w:left w:w="12" w:type="dxa"/>
              <w:right w:w="12" w:type="dxa"/>
            </w:tcMar>
            <w:vAlign w:val="center"/>
          </w:tcPr>
          <w:p w14:paraId="304CE6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元/人/月</w:t>
            </w:r>
          </w:p>
        </w:tc>
        <w:tc>
          <w:tcPr>
            <w:tcW w:w="9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40FF91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szCs w:val="24"/>
                <w:highlight w:val="none"/>
                <w:u w:val="single"/>
                <w:lang w:val="en-US" w:eastAsia="zh-CN"/>
              </w:rPr>
            </w:pPr>
            <w:r>
              <w:rPr>
                <w:rFonts w:hint="eastAsia" w:ascii="宋体" w:hAnsi="宋体" w:cs="宋体"/>
                <w:color w:val="000000"/>
                <w:sz w:val="24"/>
                <w:szCs w:val="24"/>
                <w:highlight w:val="none"/>
                <w:u w:val="single"/>
                <w:lang w:val="en-US" w:eastAsia="zh-CN"/>
              </w:rPr>
              <w:t>12</w:t>
            </w:r>
          </w:p>
        </w:tc>
        <w:tc>
          <w:tcPr>
            <w:tcW w:w="17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CFE621A">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元/年</w:t>
            </w:r>
          </w:p>
        </w:tc>
        <w:tc>
          <w:tcPr>
            <w:tcW w:w="10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115F2CE">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highlight w:val="none"/>
              </w:rPr>
            </w:pPr>
          </w:p>
        </w:tc>
      </w:tr>
      <w:tr w14:paraId="4B7AEFA4">
        <w:tblPrEx>
          <w:tblCellMar>
            <w:top w:w="0" w:type="dxa"/>
            <w:left w:w="0" w:type="dxa"/>
            <w:bottom w:w="0" w:type="dxa"/>
            <w:right w:w="0" w:type="dxa"/>
          </w:tblCellMar>
        </w:tblPrEx>
        <w:trPr>
          <w:trHeight w:val="633" w:hRule="atLeast"/>
          <w:jc w:val="center"/>
        </w:trPr>
        <w:tc>
          <w:tcPr>
            <w:tcW w:w="6803" w:type="dxa"/>
            <w:gridSpan w:val="6"/>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5F8CD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bidi="ar"/>
              </w:rPr>
              <w:t>合计</w:t>
            </w:r>
          </w:p>
        </w:tc>
        <w:tc>
          <w:tcPr>
            <w:tcW w:w="17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CFF83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4"/>
                <w:szCs w:val="24"/>
                <w:highlight w:val="none"/>
              </w:rPr>
            </w:pPr>
            <w:r>
              <w:rPr>
                <w:rFonts w:hint="eastAsia" w:ascii="宋体" w:hAnsi="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元</w:t>
            </w:r>
            <w:r>
              <w:rPr>
                <w:rFonts w:hint="eastAsia" w:ascii="宋体" w:hAnsi="宋体" w:eastAsia="宋体" w:cs="宋体"/>
                <w:color w:val="000000"/>
                <w:sz w:val="24"/>
                <w:szCs w:val="24"/>
                <w:highlight w:val="none"/>
                <w:lang w:val="en-US" w:eastAsia="zh-CN"/>
              </w:rPr>
              <w:t>/年</w:t>
            </w:r>
          </w:p>
        </w:tc>
        <w:tc>
          <w:tcPr>
            <w:tcW w:w="10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1FE6F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p>
        </w:tc>
      </w:tr>
    </w:tbl>
    <w:p w14:paraId="03A381C4">
      <w:pPr>
        <w:spacing w:line="560" w:lineRule="exact"/>
        <w:ind w:firstLine="468"/>
        <w:rPr>
          <w:rFonts w:ascii="宋体" w:hAnsi="宋体" w:cs="宋体"/>
          <w:color w:val="auto"/>
          <w:sz w:val="21"/>
          <w:szCs w:val="21"/>
          <w:highlight w:val="none"/>
        </w:rPr>
      </w:pPr>
      <w:r>
        <w:rPr>
          <w:rFonts w:hint="eastAsia"/>
          <w:color w:val="auto"/>
          <w:sz w:val="21"/>
          <w:szCs w:val="21"/>
          <w:highlight w:val="none"/>
          <w:lang w:val="en-US" w:eastAsia="zh-CN"/>
        </w:rPr>
        <w:t>注：</w:t>
      </w:r>
      <w:r>
        <w:rPr>
          <w:rFonts w:ascii="宋体" w:hAnsi="宋体" w:cs="宋体"/>
          <w:color w:val="auto"/>
          <w:sz w:val="21"/>
          <w:szCs w:val="21"/>
          <w:highlight w:val="none"/>
        </w:rPr>
        <w:t>1、报价币种为人民币元；</w:t>
      </w:r>
      <w:r>
        <w:rPr>
          <w:rFonts w:hint="eastAsia" w:ascii="宋体" w:hAnsi="宋体" w:cs="宋体"/>
          <w:color w:val="auto"/>
          <w:sz w:val="21"/>
          <w:szCs w:val="21"/>
          <w:highlight w:val="none"/>
        </w:rPr>
        <w:t>本项目为“交钥匙”项目，磋商响应方的报价应是实施、完成本采购项目以及履行磋商文件中约定的所有责任和义务所发生的全部费用。供应商无论何种原因造成报价各项的遗漏，其风险自担。本项目报价应含：人工费、材料费、机械（清扫、洒水、冲洗）费、设备工具费、农药费、肥料费、养护费、苗木补植费（即养护期间死亡苗木补植的苗木费用）园林有机物无害化处理费、保险、管理费、不可预见费及政策性文件规定及合同包含的所有风险等全部费用。其中，磋商代理服务费应分摊在报价中。</w:t>
      </w:r>
    </w:p>
    <w:p w14:paraId="567CB1D1">
      <w:pPr>
        <w:tabs>
          <w:tab w:val="left" w:pos="315"/>
        </w:tabs>
        <w:spacing w:line="560" w:lineRule="exact"/>
        <w:ind w:firstLine="420" w:firstLineChars="200"/>
        <w:rPr>
          <w:rFonts w:ascii="宋体" w:hAnsi="宋体" w:cs="宋体"/>
          <w:color w:val="auto"/>
          <w:sz w:val="21"/>
          <w:szCs w:val="21"/>
          <w:highlight w:val="none"/>
        </w:rPr>
      </w:pPr>
      <w:r>
        <w:rPr>
          <w:rFonts w:ascii="宋体" w:hAnsi="宋体" w:cs="宋体"/>
          <w:color w:val="auto"/>
          <w:sz w:val="21"/>
          <w:szCs w:val="21"/>
          <w:highlight w:val="none"/>
        </w:rPr>
        <w:t>2、如果报价表大写金额与小写金额不一致，以大写的金额为准；</w:t>
      </w:r>
    </w:p>
    <w:p w14:paraId="5A59F1CD">
      <w:pPr>
        <w:tabs>
          <w:tab w:val="left" w:pos="315"/>
        </w:tabs>
        <w:spacing w:line="560" w:lineRule="exact"/>
        <w:ind w:firstLine="420" w:firstLineChars="200"/>
        <w:rPr>
          <w:rFonts w:ascii="宋体" w:hAnsi="宋体" w:cs="宋体"/>
          <w:color w:val="auto"/>
          <w:sz w:val="21"/>
          <w:szCs w:val="21"/>
          <w:highlight w:val="none"/>
        </w:rPr>
      </w:pPr>
      <w:r>
        <w:rPr>
          <w:rFonts w:ascii="宋体" w:hAnsi="宋体" w:cs="宋体"/>
          <w:color w:val="auto"/>
          <w:sz w:val="21"/>
          <w:szCs w:val="21"/>
          <w:highlight w:val="none"/>
        </w:rPr>
        <w:t>3、供应商应提供分项单价和总价，如总价金额与按单价汇总金额不一致的以单价金额计算结果为准，单价金额小数点有明显错位的应以总价为准，并修改单价；</w:t>
      </w:r>
    </w:p>
    <w:p w14:paraId="35991DCE">
      <w:pPr>
        <w:tabs>
          <w:tab w:val="left" w:pos="315"/>
        </w:tabs>
        <w:spacing w:line="560" w:lineRule="exact"/>
        <w:ind w:firstLine="420" w:firstLineChars="200"/>
        <w:rPr>
          <w:rFonts w:ascii="宋体" w:hAnsi="宋体" w:cs="宋体"/>
          <w:color w:val="auto"/>
          <w:sz w:val="21"/>
          <w:szCs w:val="21"/>
          <w:highlight w:val="none"/>
        </w:rPr>
      </w:pPr>
      <w:r>
        <w:rPr>
          <w:rFonts w:ascii="宋体" w:hAnsi="宋体" w:cs="宋体"/>
          <w:color w:val="auto"/>
          <w:sz w:val="21"/>
          <w:szCs w:val="21"/>
          <w:highlight w:val="none"/>
        </w:rPr>
        <w:t>4、响应磋商响应方免费提供的项目应先填写该项目的实际价格并注明免费，此项不计入总价或合计价。</w:t>
      </w:r>
    </w:p>
    <w:p w14:paraId="0E2DB91F">
      <w:pPr>
        <w:tabs>
          <w:tab w:val="left" w:pos="315"/>
        </w:tabs>
        <w:spacing w:line="560" w:lineRule="exact"/>
        <w:ind w:firstLine="420" w:firstLineChars="200"/>
        <w:rPr>
          <w:rFonts w:hint="eastAsia" w:ascii="宋体" w:hAnsi="宋体" w:cs="宋体"/>
          <w:color w:val="auto"/>
          <w:sz w:val="21"/>
          <w:szCs w:val="21"/>
          <w:highlight w:val="none"/>
          <w:lang w:val="en-US" w:eastAsia="zh-CN"/>
        </w:rPr>
      </w:pPr>
      <w:r>
        <w:rPr>
          <w:rFonts w:ascii="宋体" w:hAnsi="宋体" w:cs="宋体"/>
          <w:color w:val="auto"/>
          <w:sz w:val="21"/>
          <w:szCs w:val="21"/>
          <w:highlight w:val="none"/>
        </w:rPr>
        <w:t>5、磋商响应方的初次报价和最终报价均不得高于采购预算价，磋商响应方报价高于采购预算价的，作无效响应文件处理。</w:t>
      </w:r>
    </w:p>
    <w:p w14:paraId="48C7945B">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500CBDF4">
      <w:pPr>
        <w:spacing w:line="5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二、技术部分</w:t>
      </w:r>
    </w:p>
    <w:p w14:paraId="079A1A29">
      <w:pPr>
        <w:tabs>
          <w:tab w:val="left" w:pos="315"/>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color w:val="auto"/>
          <w:sz w:val="24"/>
          <w:szCs w:val="24"/>
          <w:highlight w:val="none"/>
        </w:rPr>
        <w:t>绿化养护服务方案</w:t>
      </w:r>
    </w:p>
    <w:p w14:paraId="168D1D46">
      <w:pPr>
        <w:spacing w:line="560" w:lineRule="exact"/>
        <w:jc w:val="center"/>
        <w:rPr>
          <w:rFonts w:hint="eastAsia" w:ascii="宋体" w:hAnsi="宋体" w:eastAsia="宋体" w:cs="宋体"/>
          <w:color w:val="auto"/>
          <w:sz w:val="24"/>
          <w:highlight w:val="none"/>
        </w:rPr>
      </w:pPr>
      <w:r>
        <w:rPr>
          <w:rFonts w:hint="eastAsia" w:ascii="宋体" w:hAnsi="宋体" w:eastAsia="宋体" w:cs="宋体"/>
          <w:color w:val="auto"/>
          <w:sz w:val="44"/>
          <w:szCs w:val="44"/>
          <w:highlight w:val="none"/>
        </w:rPr>
        <w:t>由响应供应商自行书写</w:t>
      </w:r>
    </w:p>
    <w:p w14:paraId="2B0DE05D">
      <w:pPr>
        <w:spacing w:line="560" w:lineRule="exact"/>
        <w:rPr>
          <w:rFonts w:hint="eastAsia" w:ascii="宋体" w:hAnsi="宋体" w:eastAsia="宋体" w:cs="宋体"/>
          <w:color w:val="auto"/>
          <w:sz w:val="24"/>
          <w:highlight w:val="none"/>
        </w:rPr>
      </w:pPr>
    </w:p>
    <w:p w14:paraId="096206C5">
      <w:pPr>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cs="宋体"/>
          <w:color w:val="auto"/>
          <w:sz w:val="24"/>
          <w:highlight w:val="none"/>
          <w:lang w:val="en-US" w:eastAsia="zh-CN"/>
        </w:rPr>
        <w:t>2.2</w:t>
      </w:r>
      <w:r>
        <w:rPr>
          <w:rFonts w:hint="eastAsia" w:ascii="宋体" w:hAnsi="宋体"/>
          <w:color w:val="auto"/>
          <w:sz w:val="24"/>
          <w:szCs w:val="24"/>
          <w:highlight w:val="none"/>
        </w:rPr>
        <w:t>保洁服务方案</w:t>
      </w:r>
    </w:p>
    <w:p w14:paraId="4E3F4CA5">
      <w:pPr>
        <w:pStyle w:val="19"/>
        <w:spacing w:before="73" w:line="560" w:lineRule="exact"/>
        <w:ind w:left="374" w:hanging="374"/>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44"/>
          <w:szCs w:val="44"/>
          <w:highlight w:val="none"/>
        </w:rPr>
        <w:t>由响应供应商自行书写</w:t>
      </w:r>
    </w:p>
    <w:p w14:paraId="78F4AD44">
      <w:pPr>
        <w:spacing w:line="560" w:lineRule="exact"/>
        <w:ind w:firstLine="480" w:firstLineChars="200"/>
        <w:rPr>
          <w:rFonts w:hint="eastAsia" w:ascii="宋体" w:hAnsi="宋体" w:eastAsia="宋体" w:cs="宋体"/>
          <w:color w:val="auto"/>
          <w:sz w:val="24"/>
          <w:highlight w:val="none"/>
        </w:rPr>
      </w:pPr>
    </w:p>
    <w:p w14:paraId="38BDC272">
      <w:pPr>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cs="宋体"/>
          <w:color w:val="auto"/>
          <w:sz w:val="24"/>
          <w:highlight w:val="none"/>
          <w:lang w:val="en-US" w:eastAsia="zh-CN"/>
        </w:rPr>
        <w:t>2.3</w:t>
      </w:r>
      <w:r>
        <w:rPr>
          <w:rFonts w:hint="eastAsia" w:ascii="宋体" w:hAnsi="宋体"/>
          <w:color w:val="auto"/>
          <w:sz w:val="24"/>
          <w:szCs w:val="24"/>
          <w:highlight w:val="none"/>
          <w:lang w:val="en-US" w:eastAsia="zh-CN"/>
        </w:rPr>
        <w:t>安保服务方案</w:t>
      </w:r>
    </w:p>
    <w:p w14:paraId="7002CF12">
      <w:pPr>
        <w:spacing w:line="560" w:lineRule="exact"/>
        <w:jc w:val="center"/>
        <w:rPr>
          <w:rFonts w:hint="eastAsia" w:ascii="宋体" w:hAnsi="宋体" w:eastAsia="宋体" w:cs="宋体"/>
          <w:color w:val="auto"/>
          <w:sz w:val="24"/>
          <w:highlight w:val="none"/>
          <w:lang w:val="zh-CN"/>
        </w:rPr>
      </w:pPr>
      <w:r>
        <w:rPr>
          <w:rFonts w:hint="eastAsia" w:ascii="宋体" w:hAnsi="宋体" w:eastAsia="宋体" w:cs="宋体"/>
          <w:color w:val="auto"/>
          <w:sz w:val="44"/>
          <w:szCs w:val="44"/>
          <w:highlight w:val="none"/>
        </w:rPr>
        <w:t>由响应供应商自行书写</w:t>
      </w:r>
    </w:p>
    <w:p w14:paraId="2CC963F1">
      <w:pPr>
        <w:spacing w:line="560" w:lineRule="exact"/>
        <w:ind w:firstLine="480" w:firstLineChars="200"/>
        <w:rPr>
          <w:rFonts w:hint="eastAsia" w:ascii="宋体" w:hAnsi="宋体" w:eastAsia="宋体" w:cs="宋体"/>
          <w:color w:val="auto"/>
          <w:sz w:val="24"/>
          <w:highlight w:val="none"/>
          <w:lang w:val="zh-CN"/>
        </w:rPr>
      </w:pPr>
    </w:p>
    <w:p w14:paraId="63719260">
      <w:pPr>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cs="宋体"/>
          <w:color w:val="auto"/>
          <w:sz w:val="24"/>
          <w:highlight w:val="none"/>
          <w:lang w:val="en-US" w:eastAsia="zh-CN"/>
        </w:rPr>
        <w:t>2.4</w:t>
      </w:r>
      <w:r>
        <w:rPr>
          <w:rFonts w:hint="eastAsia" w:ascii="宋体" w:hAnsi="宋体"/>
          <w:color w:val="auto"/>
          <w:sz w:val="24"/>
          <w:szCs w:val="24"/>
          <w:highlight w:val="none"/>
        </w:rPr>
        <w:t>绿化带环境卫生处理措施</w:t>
      </w:r>
    </w:p>
    <w:p w14:paraId="7FBAFE9B">
      <w:pPr>
        <w:spacing w:line="560" w:lineRule="exact"/>
        <w:jc w:val="center"/>
        <w:rPr>
          <w:rFonts w:hint="eastAsia" w:ascii="宋体" w:hAnsi="宋体" w:eastAsia="宋体" w:cs="宋体"/>
          <w:color w:val="auto"/>
          <w:sz w:val="24"/>
          <w:highlight w:val="none"/>
          <w:lang w:val="zh-CN"/>
        </w:rPr>
      </w:pPr>
      <w:r>
        <w:rPr>
          <w:rFonts w:hint="eastAsia" w:ascii="宋体" w:hAnsi="宋体" w:eastAsia="宋体" w:cs="宋体"/>
          <w:color w:val="auto"/>
          <w:sz w:val="44"/>
          <w:szCs w:val="44"/>
          <w:highlight w:val="none"/>
        </w:rPr>
        <w:t>由响应供应商自行书写</w:t>
      </w:r>
    </w:p>
    <w:p w14:paraId="44C8CF59">
      <w:pPr>
        <w:spacing w:line="560" w:lineRule="exact"/>
        <w:rPr>
          <w:rFonts w:hint="eastAsia" w:ascii="宋体" w:hAnsi="宋体" w:eastAsia="宋体" w:cs="宋体"/>
          <w:color w:val="auto"/>
          <w:sz w:val="24"/>
          <w:highlight w:val="none"/>
          <w:lang w:val="zh-CN"/>
        </w:rPr>
      </w:pPr>
    </w:p>
    <w:p w14:paraId="222A462F">
      <w:pPr>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cs="宋体"/>
          <w:color w:val="auto"/>
          <w:sz w:val="24"/>
          <w:highlight w:val="none"/>
          <w:lang w:val="en-US" w:eastAsia="zh-CN"/>
        </w:rPr>
        <w:t>2.5</w:t>
      </w:r>
      <w:r>
        <w:rPr>
          <w:rFonts w:hint="eastAsia" w:ascii="宋体" w:hAnsi="宋体"/>
          <w:color w:val="auto"/>
          <w:sz w:val="24"/>
          <w:szCs w:val="24"/>
          <w:highlight w:val="none"/>
          <w:lang w:val="en-US" w:eastAsia="zh-CN"/>
        </w:rPr>
        <w:t>秩序维护管理方案</w:t>
      </w:r>
    </w:p>
    <w:p w14:paraId="3926A3E2">
      <w:pPr>
        <w:spacing w:line="56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由响应供应商自行书写</w:t>
      </w:r>
    </w:p>
    <w:p w14:paraId="26B90E93">
      <w:pPr>
        <w:pStyle w:val="2"/>
        <w:rPr>
          <w:rFonts w:hint="eastAsia"/>
          <w:color w:val="auto"/>
          <w:highlight w:val="none"/>
        </w:rPr>
      </w:pPr>
    </w:p>
    <w:p w14:paraId="696738E9">
      <w:pPr>
        <w:pStyle w:val="2"/>
        <w:ind w:firstLine="480" w:firstLineChars="200"/>
        <w:rPr>
          <w:rFonts w:hint="default"/>
          <w:color w:val="auto"/>
          <w:highlight w:val="none"/>
          <w:lang w:val="en-US"/>
        </w:rPr>
      </w:pPr>
      <w:r>
        <w:rPr>
          <w:rFonts w:hint="eastAsia" w:ascii="宋体" w:hAnsi="宋体" w:cs="宋体"/>
          <w:color w:val="auto"/>
          <w:sz w:val="24"/>
          <w:highlight w:val="none"/>
          <w:lang w:val="en-US" w:eastAsia="zh-CN"/>
        </w:rPr>
        <w:t>2.6</w:t>
      </w:r>
      <w:r>
        <w:rPr>
          <w:rFonts w:ascii="宋体" w:hAnsi="宋体"/>
          <w:color w:val="auto"/>
          <w:sz w:val="24"/>
          <w:highlight w:val="none"/>
        </w:rPr>
        <w:t>响应供应商认为需提供的其他材料</w:t>
      </w:r>
    </w:p>
    <w:p w14:paraId="5A63E946">
      <w:pPr>
        <w:spacing w:line="56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由响应供应商自行书写</w:t>
      </w:r>
    </w:p>
    <w:p w14:paraId="75F2318C">
      <w:pPr>
        <w:pStyle w:val="2"/>
        <w:rPr>
          <w:rFonts w:hint="eastAsia"/>
          <w:color w:val="auto"/>
          <w:highlight w:val="none"/>
        </w:rPr>
      </w:pPr>
    </w:p>
    <w:p w14:paraId="58608E2F">
      <w:pPr>
        <w:spacing w:line="560" w:lineRule="exact"/>
        <w:ind w:firstLine="482" w:firstLineChars="200"/>
        <w:jc w:val="center"/>
        <w:rPr>
          <w:rFonts w:ascii="宋体" w:hAnsi="宋体" w:cs="宋体"/>
          <w:b/>
          <w:color w:val="auto"/>
          <w:sz w:val="24"/>
          <w:highlight w:val="none"/>
        </w:rPr>
      </w:pPr>
      <w:r>
        <w:rPr>
          <w:rFonts w:ascii="宋体" w:hAnsi="宋体" w:cs="宋体"/>
          <w:b/>
          <w:color w:val="auto"/>
          <w:sz w:val="24"/>
          <w:highlight w:val="none"/>
        </w:rPr>
        <w:br w:type="page"/>
      </w:r>
      <w:r>
        <w:rPr>
          <w:rFonts w:ascii="宋体" w:hAnsi="宋体" w:cs="宋体"/>
          <w:b/>
          <w:color w:val="auto"/>
          <w:sz w:val="24"/>
          <w:highlight w:val="none"/>
        </w:rPr>
        <w:t>三、商务部分</w:t>
      </w:r>
    </w:p>
    <w:p w14:paraId="38A2AB3E">
      <w:pPr>
        <w:spacing w:line="560" w:lineRule="exact"/>
        <w:rPr>
          <w:rFonts w:ascii="宋体" w:hAnsi="宋体" w:cs="宋体"/>
          <w:color w:val="auto"/>
          <w:sz w:val="24"/>
          <w:highlight w:val="none"/>
        </w:rPr>
      </w:pPr>
      <w:r>
        <w:rPr>
          <w:rFonts w:ascii="宋体" w:hAnsi="宋体" w:cs="宋体"/>
          <w:color w:val="auto"/>
          <w:sz w:val="24"/>
          <w:highlight w:val="none"/>
        </w:rPr>
        <w:t>3.1响应供应商声明函</w:t>
      </w:r>
    </w:p>
    <w:p w14:paraId="19004011">
      <w:pPr>
        <w:tabs>
          <w:tab w:val="left" w:pos="315"/>
        </w:tabs>
        <w:spacing w:line="560" w:lineRule="exact"/>
        <w:ind w:firstLine="482" w:firstLineChars="200"/>
        <w:jc w:val="center"/>
        <w:rPr>
          <w:rFonts w:ascii="宋体" w:hAnsi="宋体" w:cs="宋体"/>
          <w:b/>
          <w:color w:val="auto"/>
          <w:sz w:val="24"/>
          <w:highlight w:val="none"/>
        </w:rPr>
      </w:pPr>
      <w:r>
        <w:rPr>
          <w:rFonts w:ascii="宋体" w:hAnsi="宋体" w:cs="宋体"/>
          <w:b/>
          <w:color w:val="auto"/>
          <w:sz w:val="24"/>
          <w:highlight w:val="none"/>
        </w:rPr>
        <w:t>响应函</w:t>
      </w:r>
    </w:p>
    <w:p w14:paraId="47D8DF41">
      <w:pPr>
        <w:widowControl/>
        <w:spacing w:line="56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邹城市钢山街道龙山社区居民委员会</w:t>
      </w:r>
      <w:r>
        <w:rPr>
          <w:rFonts w:ascii="宋体" w:hAnsi="宋体" w:cs="宋体"/>
          <w:bCs/>
          <w:color w:val="auto"/>
          <w:kern w:val="0"/>
          <w:sz w:val="24"/>
          <w:highlight w:val="none"/>
        </w:rPr>
        <w:t>：</w:t>
      </w:r>
    </w:p>
    <w:p w14:paraId="6BBB1B99">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(响应人全称)授权</w:t>
      </w:r>
      <w:r>
        <w:rPr>
          <w:rFonts w:ascii="宋体" w:hAnsi="宋体" w:cs="宋体"/>
          <w:bCs/>
          <w:color w:val="auto"/>
          <w:kern w:val="0"/>
          <w:sz w:val="24"/>
          <w:highlight w:val="none"/>
          <w:u w:val="single"/>
        </w:rPr>
        <w:t>          </w:t>
      </w:r>
      <w:r>
        <w:rPr>
          <w:rFonts w:ascii="宋体" w:hAnsi="宋体" w:cs="宋体"/>
          <w:bCs/>
          <w:color w:val="auto"/>
          <w:kern w:val="0"/>
          <w:sz w:val="24"/>
          <w:highlight w:val="none"/>
        </w:rPr>
        <w:t>(全权代表姓名)</w:t>
      </w:r>
      <w:r>
        <w:rPr>
          <w:rFonts w:ascii="宋体" w:hAnsi="宋体" w:cs="宋体"/>
          <w:bCs/>
          <w:color w:val="auto"/>
          <w:kern w:val="0"/>
          <w:sz w:val="24"/>
          <w:highlight w:val="none"/>
          <w:u w:val="single"/>
        </w:rPr>
        <w:t>      </w:t>
      </w:r>
      <w:r>
        <w:rPr>
          <w:rFonts w:ascii="宋体" w:hAnsi="宋体" w:cs="宋体"/>
          <w:bCs/>
          <w:color w:val="auto"/>
          <w:kern w:val="0"/>
          <w:sz w:val="24"/>
          <w:highlight w:val="none"/>
        </w:rPr>
        <w:t>(职务、职称)为全权代表，参加贵方组织的“</w:t>
      </w:r>
      <w:r>
        <w:rPr>
          <w:rFonts w:hint="eastAsia" w:ascii="宋体" w:hAnsi="宋体" w:cs="宋体"/>
          <w:bCs/>
          <w:color w:val="auto"/>
          <w:kern w:val="0"/>
          <w:sz w:val="24"/>
          <w:highlight w:val="none"/>
          <w:lang w:eastAsia="zh-CN"/>
        </w:rPr>
        <w:t>邹城市钢山街道邹鲁苑公园绿化养护管理服务项目</w:t>
      </w:r>
      <w:r>
        <w:rPr>
          <w:rFonts w:ascii="宋体" w:hAnsi="宋体" w:cs="宋体"/>
          <w:bCs/>
          <w:color w:val="auto"/>
          <w:kern w:val="0"/>
          <w:sz w:val="24"/>
          <w:highlight w:val="none"/>
        </w:rPr>
        <w:t>”(采购编号：</w:t>
      </w:r>
      <w:r>
        <w:rPr>
          <w:rFonts w:hint="eastAsia" w:ascii="宋体" w:hAnsi="宋体" w:cs="宋体"/>
          <w:bCs/>
          <w:color w:val="auto"/>
          <w:kern w:val="0"/>
          <w:sz w:val="24"/>
          <w:highlight w:val="none"/>
          <w:lang w:val="en-US" w:eastAsia="zh-CN"/>
        </w:rPr>
        <w:t>JNZH-2025-0702</w:t>
      </w:r>
      <w:r>
        <w:rPr>
          <w:rFonts w:ascii="宋体" w:hAnsi="宋体" w:cs="宋体"/>
          <w:bCs/>
          <w:color w:val="auto"/>
          <w:kern w:val="0"/>
          <w:sz w:val="24"/>
          <w:highlight w:val="none"/>
        </w:rPr>
        <w:t>)采购的有关活动，并对此项目进行响应。为此：</w:t>
      </w:r>
    </w:p>
    <w:p w14:paraId="05DBFCFF">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1、我方同意在响应人编制和提交采购响应文件须知规定的开标日期起遵守本响应书中的承诺且在响应有效期满之前均具有约束力。</w:t>
      </w:r>
    </w:p>
    <w:p w14:paraId="7AA55E2B">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2、我方承诺已经具备《中华人民共和国政府采购法》中规定的参加政府采购活动的供应商应当具备的条件：</w:t>
      </w:r>
    </w:p>
    <w:p w14:paraId="4F54D4CA">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（1）具有独立承担民事责任的能力；</w:t>
      </w:r>
    </w:p>
    <w:p w14:paraId="4D108F0E">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（2）遵守国家法律、行政法规，具有良好的信誉和商业道德；</w:t>
      </w:r>
    </w:p>
    <w:p w14:paraId="3FC9130C">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（3）具有履行合同的能力和良好的履行合同记录；</w:t>
      </w:r>
    </w:p>
    <w:p w14:paraId="64527D0C">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（4）良好的资金、财务状况；</w:t>
      </w:r>
    </w:p>
    <w:p w14:paraId="7CB88BB2">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（5）产品及生产所需装备符合中国政府规定的相应技术标准和环保标准；</w:t>
      </w:r>
    </w:p>
    <w:p w14:paraId="6C2A681F">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（6）没有违反政府采购法规、政策的记录；</w:t>
      </w:r>
    </w:p>
    <w:p w14:paraId="625C05E5">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（7）没有发生重大经济纠纷和走私犯罪记录；</w:t>
      </w:r>
    </w:p>
    <w:p w14:paraId="781AB27B">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3、提供编制和提交采购响应文件须知规定的全部响应文件，包括响应文件正本1份，副本</w:t>
      </w:r>
      <w:r>
        <w:rPr>
          <w:rFonts w:hint="eastAsia" w:ascii="宋体" w:hAnsi="宋体" w:cs="宋体"/>
          <w:bCs/>
          <w:color w:val="auto"/>
          <w:kern w:val="0"/>
          <w:sz w:val="24"/>
          <w:highlight w:val="none"/>
          <w:lang w:val="en-US" w:eastAsia="zh-CN"/>
        </w:rPr>
        <w:t>3</w:t>
      </w:r>
      <w:r>
        <w:rPr>
          <w:rFonts w:ascii="宋体" w:hAnsi="宋体" w:cs="宋体"/>
          <w:bCs/>
          <w:color w:val="auto"/>
          <w:kern w:val="0"/>
          <w:sz w:val="24"/>
          <w:highlight w:val="none"/>
        </w:rPr>
        <w:t>份。具体内容为：</w:t>
      </w:r>
    </w:p>
    <w:p w14:paraId="6ABAD618">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（1）报价一览表；</w:t>
      </w:r>
    </w:p>
    <w:p w14:paraId="249C6A13">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（2）响应技术文件和商务文件；</w:t>
      </w:r>
    </w:p>
    <w:p w14:paraId="47C294A9">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（3）编制和提交采购响应文件须知要求响应人提交的全部文件；</w:t>
      </w:r>
    </w:p>
    <w:p w14:paraId="240CDDFA">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4、按采购文件要求提供和交付的货物和服务的响应报价详见报价一览表。</w:t>
      </w:r>
    </w:p>
    <w:p w14:paraId="68487255">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5、保证忠实地执行双方所签订的合同，并承担合同规定的责任和义务。</w:t>
      </w:r>
    </w:p>
    <w:p w14:paraId="2A14A782">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6、保证遵守采购文件中的其他有关规定。</w:t>
      </w:r>
    </w:p>
    <w:p w14:paraId="0EDAF19F">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7、如果在开标后规定的响应有效期内撤回响应，我方将承担因此造成的相应损失。</w:t>
      </w:r>
    </w:p>
    <w:p w14:paraId="2459B788">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8、我方完全理解贵方不一定要接受最低价的响应。</w:t>
      </w:r>
    </w:p>
    <w:p w14:paraId="5268945D">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9、我方愿意向贵方提供任何与该项响应有关的数据、情况和技术资料。若贵方需要，我方愿意提供我方作出的一切承诺的证明材料。</w:t>
      </w:r>
    </w:p>
    <w:p w14:paraId="1C305505">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10、我方已详细审核全部采购文件，包括采购文件修改书（如果有）、参考资料及有关附件，确认无误。</w:t>
      </w:r>
    </w:p>
    <w:p w14:paraId="1326C525">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1D2DA6D">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a)提供虚假材料谋取成交的；</w:t>
      </w:r>
    </w:p>
    <w:p w14:paraId="3A6AEFA4">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b)采取不正当手段诋毁、排挤其他供应商的；</w:t>
      </w:r>
    </w:p>
    <w:p w14:paraId="3A05AECA">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c)与采购单位、其它供应商恶意串通的；</w:t>
      </w:r>
    </w:p>
    <w:p w14:paraId="6C94C717">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d)向采购单位、交易中心行贿或者提供其他不正当利益的；</w:t>
      </w:r>
    </w:p>
    <w:p w14:paraId="2A457245">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e)在采购采购过程中与采购单位进行协商谈判的；</w:t>
      </w:r>
    </w:p>
    <w:p w14:paraId="60EB5807">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f)拒绝有关部门监督检查或提供虚假情况的。</w:t>
      </w:r>
    </w:p>
    <w:p w14:paraId="05B9E4AE">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 xml:space="preserve">法定代表人签章：                  </w:t>
      </w:r>
    </w:p>
    <w:p w14:paraId="49739121">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授权代表签字：                     </w:t>
      </w:r>
    </w:p>
    <w:p w14:paraId="6CE0EEF4">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公 司 盖 章:                       </w:t>
      </w:r>
    </w:p>
    <w:p w14:paraId="5C3C5C63">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联系人：        联系电话:                 </w:t>
      </w:r>
    </w:p>
    <w:p w14:paraId="08009DCB">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联系地址：    </w:t>
      </w:r>
      <w:r>
        <w:rPr>
          <w:rFonts w:hint="eastAsia" w:ascii="宋体" w:hAnsi="宋体" w:cs="宋体"/>
          <w:bCs/>
          <w:color w:val="auto"/>
          <w:kern w:val="0"/>
          <w:sz w:val="24"/>
          <w:highlight w:val="none"/>
          <w:lang w:val="en-US" w:eastAsia="zh-CN"/>
        </w:rPr>
        <w:t xml:space="preserve">    </w:t>
      </w:r>
      <w:r>
        <w:rPr>
          <w:rFonts w:ascii="宋体" w:hAnsi="宋体" w:cs="宋体"/>
          <w:bCs/>
          <w:color w:val="auto"/>
          <w:kern w:val="0"/>
          <w:sz w:val="24"/>
          <w:highlight w:val="none"/>
        </w:rPr>
        <w:t>        </w:t>
      </w:r>
    </w:p>
    <w:p w14:paraId="6634C1A9">
      <w:pPr>
        <w:widowControl/>
        <w:spacing w:line="560" w:lineRule="exact"/>
        <w:ind w:firstLine="480" w:firstLineChars="200"/>
        <w:jc w:val="right"/>
        <w:rPr>
          <w:rFonts w:ascii="宋体" w:hAnsi="宋体" w:cs="宋体"/>
          <w:bCs/>
          <w:color w:val="auto"/>
          <w:kern w:val="0"/>
          <w:sz w:val="24"/>
          <w:highlight w:val="none"/>
        </w:rPr>
      </w:pPr>
      <w:r>
        <w:rPr>
          <w:rFonts w:ascii="宋体" w:hAnsi="宋体" w:cs="宋体"/>
          <w:bCs/>
          <w:color w:val="auto"/>
          <w:kern w:val="0"/>
          <w:sz w:val="24"/>
          <w:highlight w:val="none"/>
        </w:rPr>
        <w:t>日期：        年   月  日</w:t>
      </w:r>
    </w:p>
    <w:p w14:paraId="54553254">
      <w:pPr>
        <w:widowControl/>
        <w:spacing w:line="560" w:lineRule="exact"/>
        <w:jc w:val="left"/>
        <w:rPr>
          <w:rFonts w:ascii="宋体" w:hAnsi="宋体" w:cs="宋体"/>
          <w:bCs/>
          <w:color w:val="auto"/>
          <w:kern w:val="0"/>
          <w:sz w:val="24"/>
          <w:highlight w:val="none"/>
        </w:rPr>
      </w:pPr>
      <w:r>
        <w:rPr>
          <w:rFonts w:ascii="宋体" w:hAnsi="宋体" w:cs="宋体"/>
          <w:bCs/>
          <w:color w:val="auto"/>
          <w:kern w:val="0"/>
          <w:sz w:val="24"/>
          <w:highlight w:val="none"/>
        </w:rPr>
        <w:t>注：未按照本响应函要求填报的将被视为非实质性响应响应，从而可能导致该响应被拒绝。</w:t>
      </w:r>
    </w:p>
    <w:p w14:paraId="4AE6B6F2">
      <w:pPr>
        <w:widowControl/>
        <w:spacing w:line="560" w:lineRule="exact"/>
        <w:ind w:firstLine="480" w:firstLineChars="200"/>
        <w:jc w:val="left"/>
        <w:rPr>
          <w:rFonts w:ascii="宋体" w:hAnsi="宋体" w:cs="宋体"/>
          <w:bCs/>
          <w:color w:val="auto"/>
          <w:kern w:val="0"/>
          <w:sz w:val="24"/>
          <w:highlight w:val="none"/>
        </w:rPr>
      </w:pPr>
    </w:p>
    <w:p w14:paraId="3B2D8845">
      <w:pPr>
        <w:widowControl/>
        <w:spacing w:line="560" w:lineRule="exact"/>
        <w:ind w:firstLine="480" w:firstLineChars="200"/>
        <w:jc w:val="left"/>
        <w:rPr>
          <w:rFonts w:ascii="宋体" w:hAnsi="宋体" w:cs="宋体"/>
          <w:bCs/>
          <w:color w:val="auto"/>
          <w:kern w:val="0"/>
          <w:sz w:val="24"/>
          <w:highlight w:val="none"/>
        </w:rPr>
      </w:pPr>
    </w:p>
    <w:p w14:paraId="17E13475">
      <w:pPr>
        <w:widowControl/>
        <w:spacing w:line="560" w:lineRule="exact"/>
        <w:ind w:firstLine="480" w:firstLineChars="200"/>
        <w:jc w:val="left"/>
        <w:rPr>
          <w:rFonts w:ascii="宋体" w:hAnsi="宋体" w:cs="宋体"/>
          <w:bCs/>
          <w:color w:val="auto"/>
          <w:kern w:val="0"/>
          <w:sz w:val="24"/>
          <w:highlight w:val="none"/>
        </w:rPr>
      </w:pPr>
    </w:p>
    <w:p w14:paraId="40F5E46A">
      <w:pPr>
        <w:widowControl/>
        <w:spacing w:line="560" w:lineRule="exact"/>
        <w:ind w:firstLine="480" w:firstLineChars="200"/>
        <w:jc w:val="left"/>
        <w:rPr>
          <w:rFonts w:ascii="宋体" w:hAnsi="宋体" w:cs="宋体"/>
          <w:bCs/>
          <w:color w:val="auto"/>
          <w:kern w:val="0"/>
          <w:sz w:val="24"/>
          <w:highlight w:val="none"/>
        </w:rPr>
      </w:pPr>
    </w:p>
    <w:p w14:paraId="287A3C5A">
      <w:pPr>
        <w:widowControl/>
        <w:spacing w:line="560" w:lineRule="exact"/>
        <w:ind w:firstLine="480" w:firstLineChars="200"/>
        <w:jc w:val="left"/>
        <w:rPr>
          <w:rFonts w:ascii="宋体" w:hAnsi="宋体" w:cs="宋体"/>
          <w:bCs/>
          <w:color w:val="auto"/>
          <w:kern w:val="0"/>
          <w:sz w:val="24"/>
          <w:highlight w:val="none"/>
        </w:rPr>
      </w:pPr>
    </w:p>
    <w:p w14:paraId="741F0807">
      <w:pPr>
        <w:widowControl/>
        <w:spacing w:line="560" w:lineRule="exact"/>
        <w:ind w:firstLine="480" w:firstLineChars="200"/>
        <w:jc w:val="left"/>
        <w:rPr>
          <w:rFonts w:ascii="宋体" w:hAnsi="宋体" w:cs="宋体"/>
          <w:bCs/>
          <w:color w:val="auto"/>
          <w:kern w:val="0"/>
          <w:sz w:val="24"/>
          <w:highlight w:val="none"/>
        </w:rPr>
      </w:pPr>
    </w:p>
    <w:p w14:paraId="1FE99D04">
      <w:pPr>
        <w:widowControl/>
        <w:spacing w:line="560" w:lineRule="exact"/>
        <w:ind w:firstLine="480" w:firstLineChars="200"/>
        <w:jc w:val="left"/>
        <w:rPr>
          <w:rFonts w:ascii="宋体" w:hAnsi="宋体" w:cs="宋体"/>
          <w:bCs/>
          <w:color w:val="auto"/>
          <w:kern w:val="0"/>
          <w:sz w:val="24"/>
          <w:highlight w:val="none"/>
        </w:rPr>
      </w:pPr>
    </w:p>
    <w:p w14:paraId="434EC28E">
      <w:pPr>
        <w:widowControl/>
        <w:spacing w:line="560" w:lineRule="exact"/>
        <w:ind w:firstLine="480" w:firstLineChars="200"/>
        <w:jc w:val="left"/>
        <w:rPr>
          <w:rFonts w:ascii="宋体" w:hAnsi="宋体" w:cs="宋体"/>
          <w:bCs/>
          <w:color w:val="auto"/>
          <w:kern w:val="0"/>
          <w:sz w:val="24"/>
          <w:highlight w:val="none"/>
        </w:rPr>
      </w:pPr>
    </w:p>
    <w:p w14:paraId="4A3A7917">
      <w:pPr>
        <w:widowControl/>
        <w:spacing w:line="560" w:lineRule="exact"/>
        <w:ind w:firstLine="480" w:firstLineChars="200"/>
        <w:jc w:val="left"/>
        <w:rPr>
          <w:rFonts w:ascii="宋体" w:hAnsi="宋体" w:cs="宋体"/>
          <w:bCs/>
          <w:color w:val="auto"/>
          <w:kern w:val="0"/>
          <w:sz w:val="24"/>
          <w:highlight w:val="none"/>
        </w:rPr>
      </w:pPr>
    </w:p>
    <w:p w14:paraId="73F25F07">
      <w:pPr>
        <w:widowControl/>
        <w:spacing w:line="560" w:lineRule="exact"/>
        <w:ind w:firstLine="480" w:firstLineChars="200"/>
        <w:jc w:val="left"/>
        <w:rPr>
          <w:rFonts w:ascii="宋体" w:hAnsi="宋体" w:cs="宋体"/>
          <w:bCs/>
          <w:color w:val="auto"/>
          <w:kern w:val="0"/>
          <w:sz w:val="24"/>
          <w:highlight w:val="none"/>
        </w:rPr>
      </w:pPr>
    </w:p>
    <w:p w14:paraId="2ED3D785">
      <w:pPr>
        <w:widowControl/>
        <w:spacing w:line="560" w:lineRule="exact"/>
        <w:ind w:firstLine="480" w:firstLineChars="200"/>
        <w:jc w:val="left"/>
        <w:rPr>
          <w:rFonts w:ascii="宋体" w:hAnsi="宋体" w:cs="宋体"/>
          <w:bCs/>
          <w:color w:val="auto"/>
          <w:kern w:val="0"/>
          <w:sz w:val="24"/>
          <w:highlight w:val="none"/>
        </w:rPr>
      </w:pPr>
    </w:p>
    <w:p w14:paraId="309D7670">
      <w:pPr>
        <w:widowControl/>
        <w:spacing w:line="560" w:lineRule="exact"/>
        <w:ind w:firstLine="480" w:firstLineChars="200"/>
        <w:jc w:val="left"/>
        <w:rPr>
          <w:rFonts w:ascii="宋体" w:hAnsi="宋体" w:cs="宋体"/>
          <w:bCs/>
          <w:color w:val="auto"/>
          <w:kern w:val="0"/>
          <w:sz w:val="24"/>
          <w:highlight w:val="none"/>
        </w:rPr>
      </w:pPr>
    </w:p>
    <w:p w14:paraId="25D2A714">
      <w:pPr>
        <w:widowControl/>
        <w:spacing w:line="560" w:lineRule="exact"/>
        <w:ind w:firstLine="480" w:firstLineChars="200"/>
        <w:jc w:val="left"/>
        <w:rPr>
          <w:rFonts w:ascii="宋体" w:hAnsi="宋体" w:cs="宋体"/>
          <w:bCs/>
          <w:color w:val="auto"/>
          <w:kern w:val="0"/>
          <w:sz w:val="24"/>
          <w:highlight w:val="none"/>
        </w:rPr>
      </w:pPr>
    </w:p>
    <w:p w14:paraId="797B9EFB">
      <w:pPr>
        <w:widowControl/>
        <w:spacing w:line="560" w:lineRule="exact"/>
        <w:ind w:firstLine="480" w:firstLineChars="200"/>
        <w:jc w:val="left"/>
        <w:rPr>
          <w:rFonts w:ascii="宋体" w:hAnsi="宋体" w:cs="宋体"/>
          <w:bCs/>
          <w:color w:val="auto"/>
          <w:kern w:val="0"/>
          <w:sz w:val="24"/>
          <w:highlight w:val="none"/>
        </w:rPr>
      </w:pPr>
    </w:p>
    <w:p w14:paraId="152A572A">
      <w:pPr>
        <w:widowControl/>
        <w:spacing w:line="560" w:lineRule="exact"/>
        <w:ind w:firstLine="480" w:firstLineChars="200"/>
        <w:jc w:val="left"/>
        <w:rPr>
          <w:rFonts w:ascii="宋体" w:hAnsi="宋体" w:cs="宋体"/>
          <w:bCs/>
          <w:color w:val="auto"/>
          <w:kern w:val="0"/>
          <w:sz w:val="24"/>
          <w:highlight w:val="none"/>
        </w:rPr>
      </w:pPr>
    </w:p>
    <w:p w14:paraId="30757C45">
      <w:pPr>
        <w:widowControl/>
        <w:spacing w:line="560" w:lineRule="exact"/>
        <w:ind w:firstLine="480" w:firstLineChars="200"/>
        <w:jc w:val="left"/>
        <w:rPr>
          <w:rFonts w:ascii="宋体" w:hAnsi="宋体" w:cs="宋体"/>
          <w:bCs/>
          <w:color w:val="auto"/>
          <w:kern w:val="0"/>
          <w:sz w:val="24"/>
          <w:highlight w:val="none"/>
        </w:rPr>
      </w:pPr>
    </w:p>
    <w:p w14:paraId="657448C3">
      <w:pPr>
        <w:widowControl/>
        <w:spacing w:line="560" w:lineRule="exact"/>
        <w:ind w:firstLine="480" w:firstLineChars="200"/>
        <w:jc w:val="left"/>
        <w:rPr>
          <w:rFonts w:ascii="宋体" w:hAnsi="宋体" w:cs="宋体"/>
          <w:bCs/>
          <w:color w:val="auto"/>
          <w:kern w:val="0"/>
          <w:sz w:val="24"/>
          <w:highlight w:val="none"/>
        </w:rPr>
      </w:pPr>
    </w:p>
    <w:p w14:paraId="64923FEF">
      <w:pPr>
        <w:widowControl/>
        <w:spacing w:line="560" w:lineRule="exact"/>
        <w:ind w:firstLine="480" w:firstLineChars="200"/>
        <w:jc w:val="left"/>
        <w:rPr>
          <w:rFonts w:ascii="宋体" w:hAnsi="宋体" w:cs="宋体"/>
          <w:bCs/>
          <w:color w:val="auto"/>
          <w:kern w:val="0"/>
          <w:sz w:val="24"/>
          <w:highlight w:val="none"/>
        </w:rPr>
      </w:pPr>
    </w:p>
    <w:p w14:paraId="470535B0">
      <w:pPr>
        <w:widowControl/>
        <w:spacing w:line="560" w:lineRule="exact"/>
        <w:ind w:firstLine="480" w:firstLineChars="200"/>
        <w:jc w:val="left"/>
        <w:rPr>
          <w:rFonts w:ascii="宋体" w:hAnsi="宋体" w:cs="宋体"/>
          <w:bCs/>
          <w:color w:val="auto"/>
          <w:kern w:val="0"/>
          <w:sz w:val="24"/>
          <w:highlight w:val="none"/>
        </w:rPr>
      </w:pPr>
    </w:p>
    <w:p w14:paraId="72EEAFB5">
      <w:pPr>
        <w:widowControl/>
        <w:spacing w:line="560" w:lineRule="exact"/>
        <w:ind w:firstLine="480" w:firstLineChars="200"/>
        <w:jc w:val="left"/>
        <w:rPr>
          <w:rFonts w:ascii="宋体" w:hAnsi="宋体" w:cs="宋体"/>
          <w:bCs/>
          <w:color w:val="auto"/>
          <w:kern w:val="0"/>
          <w:sz w:val="24"/>
          <w:highlight w:val="none"/>
        </w:rPr>
      </w:pPr>
    </w:p>
    <w:p w14:paraId="74C6817C">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3.2营业执照副本复印件</w:t>
      </w:r>
    </w:p>
    <w:p w14:paraId="5B6B9EFF">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由响应供应商提供加盖公章的复印件或扫描件</w:t>
      </w:r>
    </w:p>
    <w:p w14:paraId="5FD3BC7B">
      <w:pPr>
        <w:widowControl/>
        <w:spacing w:line="560" w:lineRule="exact"/>
        <w:ind w:firstLine="480" w:firstLineChars="200"/>
        <w:jc w:val="left"/>
        <w:rPr>
          <w:rFonts w:ascii="宋体" w:hAnsi="宋体" w:cs="宋体"/>
          <w:color w:val="auto"/>
          <w:sz w:val="24"/>
          <w:highlight w:val="none"/>
        </w:rPr>
      </w:pPr>
      <w:r>
        <w:rPr>
          <w:rFonts w:ascii="宋体" w:hAnsi="宋体" w:cs="宋体"/>
          <w:bCs/>
          <w:color w:val="auto"/>
          <w:kern w:val="0"/>
          <w:sz w:val="24"/>
          <w:highlight w:val="none"/>
        </w:rPr>
        <w:br w:type="page"/>
      </w:r>
      <w:r>
        <w:rPr>
          <w:rFonts w:ascii="宋体" w:hAnsi="宋体" w:cs="宋体"/>
          <w:color w:val="auto"/>
          <w:sz w:val="24"/>
          <w:highlight w:val="none"/>
        </w:rPr>
        <w:t>3.3法定代表人授权书</w:t>
      </w:r>
    </w:p>
    <w:p w14:paraId="0F3FDB20">
      <w:pPr>
        <w:pStyle w:val="25"/>
        <w:spacing w:beforeLines="100" w:afterLines="100" w:line="560" w:lineRule="exact"/>
        <w:jc w:val="center"/>
        <w:outlineLvl w:val="9"/>
        <w:rPr>
          <w:rFonts w:hint="eastAsia" w:ascii="宋体" w:hAnsi="宋体" w:cs="宋体"/>
          <w:color w:val="auto"/>
          <w:sz w:val="24"/>
          <w:szCs w:val="24"/>
          <w:highlight w:val="none"/>
        </w:rPr>
      </w:pPr>
      <w:bookmarkStart w:id="28" w:name="_Toc11659844"/>
      <w:bookmarkStart w:id="29" w:name="_Toc21684"/>
      <w:r>
        <w:rPr>
          <w:rFonts w:hint="eastAsia" w:ascii="宋体" w:hAnsi="宋体" w:cs="宋体"/>
          <w:b/>
          <w:color w:val="auto"/>
          <w:sz w:val="24"/>
          <w:szCs w:val="24"/>
          <w:highlight w:val="none"/>
        </w:rPr>
        <w:t>法定代表人授权书</w:t>
      </w:r>
      <w:r>
        <w:rPr>
          <w:rFonts w:hint="eastAsia" w:ascii="宋体" w:hAnsi="宋体" w:cs="宋体"/>
          <w:b/>
          <w:color w:val="auto"/>
          <w:sz w:val="24"/>
          <w:szCs w:val="24"/>
          <w:highlight w:val="none"/>
        </w:rPr>
        <w:cr/>
      </w:r>
      <w:r>
        <w:rPr>
          <w:rFonts w:hint="eastAsia" w:ascii="宋体" w:hAnsi="宋体" w:cs="宋体"/>
          <w:color w:val="auto"/>
          <w:sz w:val="24"/>
          <w:szCs w:val="24"/>
          <w:highlight w:val="none"/>
          <w:u w:val="single"/>
        </w:rPr>
        <w:t xml:space="preserve">         （响应供应商全称）             </w:t>
      </w: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身份证号：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授权</w:t>
      </w:r>
      <w:r>
        <w:rPr>
          <w:rFonts w:hint="eastAsia" w:ascii="宋体" w:hAnsi="宋体" w:cs="宋体"/>
          <w:color w:val="auto"/>
          <w:sz w:val="24"/>
          <w:szCs w:val="24"/>
          <w:highlight w:val="none"/>
          <w:u w:val="single"/>
        </w:rPr>
        <w:t xml:space="preserve">        （被授权人姓名）</w:t>
      </w:r>
      <w:r>
        <w:rPr>
          <w:rFonts w:hint="eastAsia" w:ascii="宋体" w:hAnsi="宋体" w:cs="宋体"/>
          <w:color w:val="auto"/>
          <w:sz w:val="24"/>
          <w:szCs w:val="24"/>
          <w:highlight w:val="none"/>
        </w:rPr>
        <w:t>身份证号：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为响应供应商代表，代表本公司参加你方组织的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磋商活动，全权代表本公司处理磋商过程的一切事宜，包括但不限于：磋商、签约等。响应供应商代表在磋商过程中所签署的一切文件和处理与之有关的一切事务，本公司均予以认可并对此承担责任。响应供应商授权代表无转委权。特此授权。</w:t>
      </w:r>
      <w:bookmarkEnd w:id="28"/>
      <w:bookmarkEnd w:id="29"/>
    </w:p>
    <w:p w14:paraId="614ADD20">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本授权书自出具之日起生效。</w:t>
      </w:r>
    </w:p>
    <w:p w14:paraId="7AB50BF9">
      <w:pPr>
        <w:spacing w:line="560" w:lineRule="exact"/>
        <w:rPr>
          <w:rFonts w:ascii="宋体" w:hAnsi="宋体" w:cs="宋体"/>
          <w:color w:val="auto"/>
          <w:sz w:val="24"/>
          <w:highlight w:val="none"/>
        </w:rPr>
      </w:pPr>
    </w:p>
    <w:p w14:paraId="7DB3F80E">
      <w:pPr>
        <w:widowControl/>
        <w:tabs>
          <w:tab w:val="left" w:pos="5520"/>
        </w:tabs>
        <w:spacing w:line="560" w:lineRule="exact"/>
        <w:rPr>
          <w:rFonts w:ascii="宋体" w:hAnsi="宋体" w:cs="宋体"/>
          <w:color w:val="auto"/>
          <w:sz w:val="24"/>
          <w:highlight w:val="none"/>
        </w:rPr>
      </w:pPr>
      <w:r>
        <w:rPr>
          <w:rFonts w:ascii="宋体" w:hAnsi="宋体" w:cs="宋体"/>
          <w:color w:val="auto"/>
          <w:sz w:val="24"/>
          <w:highlight w:val="none"/>
        </w:rPr>
        <w:tab/>
      </w:r>
      <w:r>
        <w:rPr>
          <w:rFonts w:ascii="宋体" w:hAnsi="宋体" w:cs="宋体"/>
          <w:color w:val="auto"/>
          <w:sz w:val="24"/>
          <w:highlight w:val="none"/>
        </w:rPr>
        <w:t>法定代表人签字（或盖章）：</w:t>
      </w:r>
    </w:p>
    <w:p w14:paraId="2CEC0C38">
      <w:pPr>
        <w:widowControl/>
        <w:spacing w:line="560" w:lineRule="exact"/>
        <w:jc w:val="center"/>
        <w:rPr>
          <w:rFonts w:ascii="宋体" w:hAnsi="宋体" w:cs="宋体"/>
          <w:color w:val="auto"/>
          <w:sz w:val="24"/>
          <w:highlight w:val="none"/>
        </w:rPr>
      </w:pPr>
      <w:r>
        <w:rPr>
          <w:rFonts w:ascii="宋体" w:hAnsi="宋体" w:cs="宋体"/>
          <w:color w:val="auto"/>
          <w:sz w:val="24"/>
          <w:highlight w:val="none"/>
        </w:rPr>
        <w:t xml:space="preserve">                </w:t>
      </w:r>
    </w:p>
    <w:p w14:paraId="315894DB">
      <w:pPr>
        <w:widowControl/>
        <w:spacing w:line="560" w:lineRule="exact"/>
        <w:jc w:val="center"/>
        <w:rPr>
          <w:rFonts w:ascii="宋体" w:hAnsi="宋体" w:cs="宋体"/>
          <w:color w:val="auto"/>
          <w:sz w:val="24"/>
          <w:highlight w:val="none"/>
          <w:u w:val="single"/>
        </w:rPr>
      </w:pPr>
      <w:r>
        <w:rPr>
          <w:rFonts w:ascii="宋体" w:hAnsi="宋体" w:cs="宋体"/>
          <w:color w:val="auto"/>
          <w:sz w:val="24"/>
          <w:highlight w:val="none"/>
        </w:rPr>
        <w:t xml:space="preserve">                                       </w:t>
      </w:r>
      <w:r>
        <w:rPr>
          <w:rFonts w:ascii="宋体" w:hAnsi="宋体" w:cs="宋体"/>
          <w:color w:val="auto"/>
          <w:sz w:val="24"/>
          <w:highlight w:val="none"/>
          <w:u w:val="single"/>
        </w:rPr>
        <w:t>填写公司名称（盖章）</w:t>
      </w:r>
    </w:p>
    <w:p w14:paraId="7DC5B0A7">
      <w:pPr>
        <w:widowControl/>
        <w:tabs>
          <w:tab w:val="left" w:pos="5635"/>
        </w:tabs>
        <w:spacing w:line="560" w:lineRule="exact"/>
        <w:jc w:val="center"/>
        <w:rPr>
          <w:rFonts w:ascii="宋体" w:hAnsi="宋体" w:cs="宋体"/>
          <w:color w:val="auto"/>
          <w:sz w:val="24"/>
          <w:highlight w:val="none"/>
        </w:rPr>
      </w:pPr>
      <w:r>
        <w:rPr>
          <w:rFonts w:ascii="宋体" w:hAnsi="宋体" w:cs="宋体"/>
          <w:color w:val="auto"/>
          <w:sz w:val="24"/>
          <w:highlight w:val="none"/>
        </w:rPr>
        <w:tab/>
      </w:r>
      <w:r>
        <w:rPr>
          <w:rFonts w:ascii="宋体" w:hAnsi="宋体" w:cs="宋体"/>
          <w:color w:val="auto"/>
          <w:sz w:val="24"/>
          <w:highlight w:val="none"/>
        </w:rPr>
        <w:t>年  月  日</w:t>
      </w:r>
    </w:p>
    <w:p w14:paraId="579F888C">
      <w:pPr>
        <w:spacing w:line="560" w:lineRule="exact"/>
        <w:rPr>
          <w:rFonts w:ascii="宋体" w:hAnsi="宋体" w:cs="宋体"/>
          <w:color w:val="auto"/>
          <w:sz w:val="24"/>
          <w:highlight w:val="none"/>
        </w:rPr>
      </w:pPr>
      <w:r>
        <w:rPr>
          <w:rFonts w:ascii="宋体" w:hAnsi="宋体" w:cs="宋体"/>
          <w:b/>
          <w:color w:val="auto"/>
          <w:sz w:val="24"/>
          <w:highlight w:val="none"/>
        </w:rPr>
        <mc:AlternateContent>
          <mc:Choice Requires="wps">
            <w:drawing>
              <wp:anchor distT="0" distB="0" distL="114300" distR="114300" simplePos="0" relativeHeight="251663360" behindDoc="1" locked="0" layoutInCell="1" allowOverlap="1">
                <wp:simplePos x="0" y="0"/>
                <wp:positionH relativeFrom="column">
                  <wp:posOffset>0</wp:posOffset>
                </wp:positionH>
                <wp:positionV relativeFrom="paragraph">
                  <wp:posOffset>257175</wp:posOffset>
                </wp:positionV>
                <wp:extent cx="2533650" cy="1386840"/>
                <wp:effectExtent l="4445" t="4445" r="14605" b="18415"/>
                <wp:wrapSquare wrapText="bothSides"/>
                <wp:docPr id="8" name="圆角矩形 8"/>
                <wp:cNvGraphicFramePr/>
                <a:graphic xmlns:a="http://schemas.openxmlformats.org/drawingml/2006/main">
                  <a:graphicData uri="http://schemas.microsoft.com/office/word/2010/wordprocessingShape">
                    <wps:wsp>
                      <wps:cNvSpPr/>
                      <wps:spPr>
                        <a:xfrm>
                          <a:off x="0" y="0"/>
                          <a:ext cx="2533650" cy="1386840"/>
                        </a:xfrm>
                        <a:prstGeom prst="roundRect">
                          <a:avLst>
                            <a:gd name="adj" fmla="val 16667"/>
                          </a:avLst>
                        </a:prstGeom>
                        <a:solidFill>
                          <a:srgbClr val="FFFFFF">
                            <a:alpha val="0"/>
                          </a:srgbClr>
                        </a:solidFill>
                        <a:ln w="9525" cap="flat" cmpd="sng">
                          <a:solidFill>
                            <a:srgbClr val="000000"/>
                          </a:solidFill>
                          <a:prstDash val="dashDot"/>
                          <a:headEnd type="none" w="med" len="med"/>
                          <a:tailEnd type="none" w="med" len="med"/>
                        </a:ln>
                      </wps:spPr>
                      <wps:txbx>
                        <w:txbxContent>
                          <w:p w14:paraId="6C850FD8"/>
                        </w:txbxContent>
                      </wps:txbx>
                      <wps:bodyPr upright="1"/>
                    </wps:wsp>
                  </a:graphicData>
                </a:graphic>
              </wp:anchor>
            </w:drawing>
          </mc:Choice>
          <mc:Fallback>
            <w:pict>
              <v:roundrect id="_x0000_s1026" o:spid="_x0000_s1026" o:spt="2" style="position:absolute;left:0pt;margin-left:0pt;margin-top:20.25pt;height:109.2pt;width:199.5pt;mso-wrap-distance-bottom:0pt;mso-wrap-distance-left:9pt;mso-wrap-distance-right:9pt;mso-wrap-distance-top:0pt;z-index:-251653120;mso-width-relative:page;mso-height-relative:page;" fillcolor="#FFFFFF" filled="t" stroked="t" coordsize="21600,21600" arcsize="0.166666666666667" o:gfxdata="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xyMkdYAAAAHAQAADwAAAAAAAAABACAAAAAiAAAAZHJzL2Rvd25yZXYueG1s&#10;UEsBAhQAFAAAAAgAh07iQB7BfrwzAgAAdgQAAA4AAAAAAAAAAQAgAAAAJQEAAGRycy9lMm9Eb2Mu&#10;eG1sUEsFBgAAAAAGAAYAWQEAAMoFAAAAAA==&#10;">
                <v:fill on="t" opacity="0f" focussize="0,0"/>
                <v:stroke color="#000000" joinstyle="round" dashstyle="dashDot"/>
                <v:imagedata o:title=""/>
                <o:lock v:ext="edit" aspectratio="f"/>
                <v:textbox>
                  <w:txbxContent>
                    <w:p w14:paraId="6C850FD8"/>
                  </w:txbxContent>
                </v:textbox>
                <w10:wrap type="square"/>
              </v:roundrect>
            </w:pict>
          </mc:Fallback>
        </mc:AlternateContent>
      </w:r>
      <w:r>
        <w:rPr>
          <w:rFonts w:ascii="宋体" w:hAnsi="宋体" w:cs="宋体"/>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3067050</wp:posOffset>
                </wp:positionH>
                <wp:positionV relativeFrom="paragraph">
                  <wp:posOffset>203200</wp:posOffset>
                </wp:positionV>
                <wp:extent cx="2533650" cy="1386840"/>
                <wp:effectExtent l="4445" t="4445" r="14605" b="18415"/>
                <wp:wrapSquare wrapText="bothSides"/>
                <wp:docPr id="6" name="圆角矩形 6"/>
                <wp:cNvGraphicFramePr/>
                <a:graphic xmlns:a="http://schemas.openxmlformats.org/drawingml/2006/main">
                  <a:graphicData uri="http://schemas.microsoft.com/office/word/2010/wordprocessingShape">
                    <wps:wsp>
                      <wps:cNvSpPr/>
                      <wps:spPr>
                        <a:xfrm>
                          <a:off x="0" y="0"/>
                          <a:ext cx="2533650" cy="1386840"/>
                        </a:xfrm>
                        <a:prstGeom prst="roundRect">
                          <a:avLst>
                            <a:gd name="adj" fmla="val 16667"/>
                          </a:avLst>
                        </a:prstGeom>
                        <a:solidFill>
                          <a:srgbClr val="FFFFFF">
                            <a:alpha val="0"/>
                          </a:srgbClr>
                        </a:solidFill>
                        <a:ln w="9525" cap="flat" cmpd="sng">
                          <a:solidFill>
                            <a:srgbClr val="000000"/>
                          </a:solidFill>
                          <a:prstDash val="dashDot"/>
                          <a:headEnd type="none" w="med" len="med"/>
                          <a:tailEnd type="none" w="med" len="med"/>
                        </a:ln>
                      </wps:spPr>
                      <wps:txbx>
                        <w:txbxContent>
                          <w:p w14:paraId="723B320F"/>
                        </w:txbxContent>
                      </wps:txbx>
                      <wps:bodyPr upright="1"/>
                    </wps:wsp>
                  </a:graphicData>
                </a:graphic>
              </wp:anchor>
            </w:drawing>
          </mc:Choice>
          <mc:Fallback>
            <w:pict>
              <v:roundrect id="_x0000_s1026" o:spid="_x0000_s1026" o:spt="2" style="position:absolute;left:0pt;margin-left:241.5pt;margin-top:16pt;height:109.2pt;width:199.5pt;mso-wrap-distance-bottom:0pt;mso-wrap-distance-left:9pt;mso-wrap-distance-right:9pt;mso-wrap-distance-top:0pt;z-index:-251656192;mso-width-relative:page;mso-height-relative:page;" fillcolor="#FFFFFF" filled="t" stroked="t" coordsize="21600,21600" arcsize="0.166666666666667" o:gfxdata="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f8BX32AAAAAoBAAAPAAAAAAAAAAEAIAAAACIAAABkcnMvZG93bnJldi54&#10;bWxQSwECFAAUAAAACACHTuJAOuvYJjMCAAB2BAAADgAAAAAAAAABACAAAAAnAQAAZHJzL2Uyb0Rv&#10;Yy54bWxQSwUGAAAAAAYABgBZAQAAzAUAAAAA&#10;">
                <v:fill on="t" opacity="0f" focussize="0,0"/>
                <v:stroke color="#000000" joinstyle="round" dashstyle="dashDot"/>
                <v:imagedata o:title=""/>
                <o:lock v:ext="edit" aspectratio="f"/>
                <v:textbox>
                  <w:txbxContent>
                    <w:p w14:paraId="723B320F"/>
                  </w:txbxContent>
                </v:textbox>
                <w10:wrap type="square"/>
              </v:roundrect>
            </w:pict>
          </mc:Fallback>
        </mc:AlternateContent>
      </w:r>
    </w:p>
    <w:p w14:paraId="589F9EB3">
      <w:pPr>
        <w:spacing w:line="560" w:lineRule="exact"/>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66432" behindDoc="0" locked="0" layoutInCell="1" allowOverlap="1">
                <wp:simplePos x="0" y="0"/>
                <wp:positionH relativeFrom="column">
                  <wp:posOffset>699770</wp:posOffset>
                </wp:positionH>
                <wp:positionV relativeFrom="paragraph">
                  <wp:posOffset>179070</wp:posOffset>
                </wp:positionV>
                <wp:extent cx="1986280" cy="675640"/>
                <wp:effectExtent l="4445" t="4445" r="9525" b="5715"/>
                <wp:wrapNone/>
                <wp:docPr id="14" name="文本框 14"/>
                <wp:cNvGraphicFramePr/>
                <a:graphic xmlns:a="http://schemas.openxmlformats.org/drawingml/2006/main">
                  <a:graphicData uri="http://schemas.microsoft.com/office/word/2010/wordprocessingShape">
                    <wps:wsp>
                      <wps:cNvSpPr txBox="1"/>
                      <wps:spPr>
                        <a:xfrm>
                          <a:off x="0" y="0"/>
                          <a:ext cx="1986280" cy="67564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04C860ED">
                            <w:pPr>
                              <w:jc w:val="center"/>
                              <w:rPr>
                                <w:rFonts w:ascii="宋体" w:cs="宋体"/>
                                <w:kern w:val="0"/>
                                <w:sz w:val="24"/>
                                <w:lang w:val="zh-CN"/>
                              </w:rPr>
                            </w:pPr>
                            <w:r>
                              <w:rPr>
                                <w:rFonts w:ascii="宋体" w:cs="宋体"/>
                                <w:kern w:val="0"/>
                                <w:sz w:val="24"/>
                                <w:lang w:val="zh-CN"/>
                              </w:rPr>
                              <w:t>法定代表人身份证复印件</w:t>
                            </w:r>
                          </w:p>
                          <w:p w14:paraId="2000A92B">
                            <w:pPr>
                              <w:jc w:val="center"/>
                            </w:pPr>
                            <w:r>
                              <w:rPr>
                                <w:rFonts w:ascii="宋体" w:cs="宋体"/>
                                <w:kern w:val="0"/>
                                <w:sz w:val="24"/>
                                <w:lang w:val="zh-CN"/>
                              </w:rPr>
                              <w:t>反面粘贴处</w:t>
                            </w:r>
                          </w:p>
                        </w:txbxContent>
                      </wps:txbx>
                      <wps:bodyPr upright="1"/>
                    </wps:wsp>
                  </a:graphicData>
                </a:graphic>
              </wp:anchor>
            </w:drawing>
          </mc:Choice>
          <mc:Fallback>
            <w:pict>
              <v:shape id="_x0000_s1026" o:spid="_x0000_s1026" o:spt="202" type="#_x0000_t202" style="position:absolute;left:0pt;margin-left:55.1pt;margin-top:14.1pt;height:53.2pt;width:156.4pt;z-index:251666432;mso-width-relative:page;mso-height-relative:page;" fillcolor="#FFFFFF" filled="t" stroked="t" coordsize="21600,21600" o:gfxdata="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WpeX3XAAAACgEAAA8AAAAAAAAAAQAgAAAAIgAA&#10;AGRycy9kb3ducmV2LnhtbFBLAQIUABQAAAAIAIdO4kANsOEtCQIAADgEAAAOAAAAAAAAAAEAIAAA&#10;ACYBAABkcnMvZTJvRG9jLnhtbFBLBQYAAAAABgAGAFkBAAChBQAAAAA=&#10;">
                <v:fill on="t" focussize="0,0"/>
                <v:stroke color="#FFFFFF" joinstyle="miter"/>
                <v:imagedata o:title=""/>
                <o:lock v:ext="edit" aspectratio="f"/>
                <v:textbox>
                  <w:txbxContent>
                    <w:p w14:paraId="04C860ED">
                      <w:pPr>
                        <w:jc w:val="center"/>
                        <w:rPr>
                          <w:rFonts w:ascii="宋体" w:cs="宋体"/>
                          <w:kern w:val="0"/>
                          <w:sz w:val="24"/>
                          <w:lang w:val="zh-CN"/>
                        </w:rPr>
                      </w:pPr>
                      <w:r>
                        <w:rPr>
                          <w:rFonts w:ascii="宋体" w:cs="宋体"/>
                          <w:kern w:val="0"/>
                          <w:sz w:val="24"/>
                          <w:lang w:val="zh-CN"/>
                        </w:rPr>
                        <w:t>法定代表人身份证复印件</w:t>
                      </w:r>
                    </w:p>
                    <w:p w14:paraId="2000A92B">
                      <w:pPr>
                        <w:jc w:val="center"/>
                      </w:pPr>
                      <w:r>
                        <w:rPr>
                          <w:rFonts w:ascii="宋体" w:cs="宋体"/>
                          <w:kern w:val="0"/>
                          <w:sz w:val="24"/>
                          <w:lang w:val="zh-CN"/>
                        </w:rPr>
                        <w:t>反面粘贴处</w:t>
                      </w:r>
                    </w:p>
                  </w:txbxContent>
                </v:textbox>
              </v:shape>
            </w:pict>
          </mc:Fallback>
        </mc:AlternateContent>
      </w:r>
      <w:r>
        <w:rPr>
          <w:rFonts w:ascii="宋体" w:hAnsi="宋体" w:cs="宋体"/>
          <w:b/>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-2357755</wp:posOffset>
                </wp:positionH>
                <wp:positionV relativeFrom="paragraph">
                  <wp:posOffset>236220</wp:posOffset>
                </wp:positionV>
                <wp:extent cx="1986280" cy="842645"/>
                <wp:effectExtent l="4445" t="4445" r="9525" b="0"/>
                <wp:wrapTight wrapText="bothSides">
                  <wp:wrapPolygon>
                    <wp:start x="-48" y="-172"/>
                    <wp:lineTo x="-48" y="21207"/>
                    <wp:lineTo x="21496" y="21207"/>
                    <wp:lineTo x="21496" y="-172"/>
                    <wp:lineTo x="-48" y="-172"/>
                  </wp:wrapPolygon>
                </wp:wrapTight>
                <wp:docPr id="5" name="文本框 5"/>
                <wp:cNvGraphicFramePr/>
                <a:graphic xmlns:a="http://schemas.openxmlformats.org/drawingml/2006/main">
                  <a:graphicData uri="http://schemas.microsoft.com/office/word/2010/wordprocessingShape">
                    <wps:wsp>
                      <wps:cNvSpPr txBox="1"/>
                      <wps:spPr>
                        <a:xfrm>
                          <a:off x="0" y="0"/>
                          <a:ext cx="1986280" cy="84264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0BAC064">
                            <w:pPr>
                              <w:jc w:val="center"/>
                              <w:rPr>
                                <w:rFonts w:ascii="宋体" w:cs="宋体"/>
                                <w:kern w:val="0"/>
                                <w:sz w:val="24"/>
                                <w:lang w:val="zh-CN"/>
                              </w:rPr>
                            </w:pPr>
                            <w:r>
                              <w:rPr>
                                <w:rFonts w:ascii="宋体" w:cs="宋体"/>
                                <w:kern w:val="0"/>
                                <w:sz w:val="24"/>
                                <w:lang w:val="zh-CN"/>
                              </w:rPr>
                              <w:t>法定代表人身份证复印件</w:t>
                            </w:r>
                          </w:p>
                          <w:p w14:paraId="60731E70">
                            <w:pPr>
                              <w:jc w:val="center"/>
                            </w:pPr>
                            <w:r>
                              <w:rPr>
                                <w:rFonts w:ascii="宋体" w:cs="宋体"/>
                                <w:kern w:val="0"/>
                                <w:sz w:val="24"/>
                                <w:lang w:val="zh-CN"/>
                              </w:rPr>
                              <w:t>正面粘贴处</w:t>
                            </w:r>
                          </w:p>
                        </w:txbxContent>
                      </wps:txbx>
                      <wps:bodyPr upright="1">
                        <a:spAutoFit/>
                      </wps:bodyPr>
                    </wps:wsp>
                  </a:graphicData>
                </a:graphic>
              </wp:anchor>
            </w:drawing>
          </mc:Choice>
          <mc:Fallback>
            <w:pict>
              <v:shape id="_x0000_s1026" o:spid="_x0000_s1026" o:spt="202" type="#_x0000_t202" style="position:absolute;left:0pt;margin-left:-185.65pt;margin-top:18.6pt;height:66.35pt;width:156.4pt;mso-wrap-distance-left:9pt;mso-wrap-distance-right:9pt;z-index:-251654144;mso-width-relative:page;mso-height-relative:page;" fillcolor="#FFFFFF" filled="t" stroked="t" coordsize="21600,21600" wrapcoords="-48 -172 -48 21207 21496 21207 21496 -172 -48 -172" o:gfxdata="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qdkWvcAAAACwEAAA8A&#10;AAAAAAAAAQAgAAAAIgAAAGRycy9kb3ducmV2LnhtbFBLAQIUABQAAAAIAIdO4kBstKa/EwIAAFAE&#10;AAAOAAAAAAAAAAEAIAAAACsBAABkcnMvZTJvRG9jLnhtbFBLBQYAAAAABgAGAFkBAACwBQAAAAA=&#10;">
                <v:fill on="t" focussize="0,0"/>
                <v:stroke color="#FFFFFF" joinstyle="miter"/>
                <v:imagedata o:title=""/>
                <o:lock v:ext="edit" aspectratio="f"/>
                <v:textbox style="mso-fit-shape-to-text:t;">
                  <w:txbxContent>
                    <w:p w14:paraId="40BAC064">
                      <w:pPr>
                        <w:jc w:val="center"/>
                        <w:rPr>
                          <w:rFonts w:ascii="宋体" w:cs="宋体"/>
                          <w:kern w:val="0"/>
                          <w:sz w:val="24"/>
                          <w:lang w:val="zh-CN"/>
                        </w:rPr>
                      </w:pPr>
                      <w:r>
                        <w:rPr>
                          <w:rFonts w:ascii="宋体" w:cs="宋体"/>
                          <w:kern w:val="0"/>
                          <w:sz w:val="24"/>
                          <w:lang w:val="zh-CN"/>
                        </w:rPr>
                        <w:t>法定代表人身份证复印件</w:t>
                      </w:r>
                    </w:p>
                    <w:p w14:paraId="60731E70">
                      <w:pPr>
                        <w:jc w:val="center"/>
                      </w:pPr>
                      <w:r>
                        <w:rPr>
                          <w:rFonts w:ascii="宋体" w:cs="宋体"/>
                          <w:kern w:val="0"/>
                          <w:sz w:val="24"/>
                          <w:lang w:val="zh-CN"/>
                        </w:rPr>
                        <w:t>正面粘贴处</w:t>
                      </w:r>
                    </w:p>
                  </w:txbxContent>
                </v:textbox>
                <w10:wrap type="tight"/>
              </v:shape>
            </w:pict>
          </mc:Fallback>
        </mc:AlternateContent>
      </w:r>
    </w:p>
    <w:p w14:paraId="37E7CA4E">
      <w:pPr>
        <w:spacing w:line="560" w:lineRule="exact"/>
        <w:rPr>
          <w:rFonts w:ascii="宋体" w:hAnsi="宋体" w:cs="宋体"/>
          <w:color w:val="auto"/>
          <w:sz w:val="24"/>
          <w:highlight w:val="none"/>
        </w:rPr>
      </w:pPr>
    </w:p>
    <w:p w14:paraId="43D5613E">
      <w:pPr>
        <w:pStyle w:val="25"/>
        <w:spacing w:line="560" w:lineRule="exact"/>
        <w:outlineLvl w:val="9"/>
        <w:rPr>
          <w:rFonts w:hint="eastAsia" w:ascii="宋体" w:hAnsi="宋体" w:cs="宋体"/>
          <w:b/>
          <w:color w:val="auto"/>
          <w:sz w:val="24"/>
          <w:szCs w:val="24"/>
          <w:highlight w:val="none"/>
        </w:rPr>
      </w:pPr>
    </w:p>
    <w:p w14:paraId="6D6831DB">
      <w:pPr>
        <w:pStyle w:val="25"/>
        <w:spacing w:line="560" w:lineRule="exact"/>
        <w:outlineLvl w:val="9"/>
        <w:rPr>
          <w:rFonts w:hint="eastAsia" w:ascii="宋体" w:hAnsi="宋体" w:cs="宋体"/>
          <w:b/>
          <w:color w:val="auto"/>
          <w:sz w:val="24"/>
          <w:szCs w:val="24"/>
          <w:highlight w:val="none"/>
        </w:rPr>
      </w:pPr>
    </w:p>
    <w:p w14:paraId="4EE72876">
      <w:pPr>
        <w:spacing w:line="560" w:lineRule="exact"/>
        <w:ind w:firstLine="480" w:firstLineChars="200"/>
        <w:rPr>
          <w:rFonts w:ascii="宋体" w:hAnsi="宋体" w:cs="宋体"/>
          <w:color w:val="auto"/>
          <w:sz w:val="24"/>
          <w:highlight w:val="none"/>
        </w:rPr>
      </w:pPr>
    </w:p>
    <w:p w14:paraId="4D35BCFA">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64384" behindDoc="1" locked="0" layoutInCell="1" allowOverlap="1">
                <wp:simplePos x="0" y="0"/>
                <wp:positionH relativeFrom="column">
                  <wp:posOffset>-9525</wp:posOffset>
                </wp:positionH>
                <wp:positionV relativeFrom="paragraph">
                  <wp:posOffset>19685</wp:posOffset>
                </wp:positionV>
                <wp:extent cx="2533650" cy="1386840"/>
                <wp:effectExtent l="4445" t="4445" r="14605" b="18415"/>
                <wp:wrapSquare wrapText="bothSides"/>
                <wp:docPr id="9" name="圆角矩形 9"/>
                <wp:cNvGraphicFramePr/>
                <a:graphic xmlns:a="http://schemas.openxmlformats.org/drawingml/2006/main">
                  <a:graphicData uri="http://schemas.microsoft.com/office/word/2010/wordprocessingShape">
                    <wps:wsp>
                      <wps:cNvSpPr/>
                      <wps:spPr>
                        <a:xfrm>
                          <a:off x="0" y="0"/>
                          <a:ext cx="2533650" cy="1386840"/>
                        </a:xfrm>
                        <a:prstGeom prst="roundRect">
                          <a:avLst>
                            <a:gd name="adj" fmla="val 16667"/>
                          </a:avLst>
                        </a:prstGeom>
                        <a:solidFill>
                          <a:srgbClr val="FFFFFF">
                            <a:alpha val="0"/>
                          </a:srgbClr>
                        </a:solidFill>
                        <a:ln w="9525" cap="flat" cmpd="sng">
                          <a:solidFill>
                            <a:srgbClr val="000000"/>
                          </a:solidFill>
                          <a:prstDash val="dashDot"/>
                          <a:headEnd type="none" w="med" len="med"/>
                          <a:tailEnd type="none" w="med" len="med"/>
                        </a:ln>
                      </wps:spPr>
                      <wps:txbx>
                        <w:txbxContent>
                          <w:p w14:paraId="5AA9306D"/>
                        </w:txbxContent>
                      </wps:txbx>
                      <wps:bodyPr upright="1"/>
                    </wps:wsp>
                  </a:graphicData>
                </a:graphic>
              </wp:anchor>
            </w:drawing>
          </mc:Choice>
          <mc:Fallback>
            <w:pict>
              <v:roundrect id="_x0000_s1026" o:spid="_x0000_s1026" o:spt="2" style="position:absolute;left:0pt;margin-left:-0.75pt;margin-top:1.55pt;height:109.2pt;width:199.5pt;mso-wrap-distance-bottom:0pt;mso-wrap-distance-left:9pt;mso-wrap-distance-right:9pt;mso-wrap-distance-top:0pt;z-index:-251652096;mso-width-relative:page;mso-height-relative:page;" fillcolor="#FFFFFF" filled="t" stroked="t" coordsize="21600,21600" arcsize="0.166666666666667" o:gfxdata="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ki57J1QAAAAgBAAAPAAAAAAAAAAEAIAAAACIAAABkcnMvZG93bnJldi54bWxQ&#10;SwECFAAUAAAACACHTuJALnKYLzMCAAB2BAAADgAAAAAAAAABACAAAAAkAQAAZHJzL2Uyb0RvYy54&#10;bWxQSwUGAAAAAAYABgBZAQAAyQUAAAAA&#10;">
                <v:fill on="t" opacity="0f" focussize="0,0"/>
                <v:stroke color="#000000" joinstyle="round" dashstyle="dashDot"/>
                <v:imagedata o:title=""/>
                <o:lock v:ext="edit" aspectratio="f"/>
                <v:textbox>
                  <w:txbxContent>
                    <w:p w14:paraId="5AA9306D"/>
                  </w:txbxContent>
                </v:textbox>
                <w10:wrap type="square"/>
              </v:roundrect>
            </w:pict>
          </mc:Fallback>
        </mc:AlternateContent>
      </w:r>
      <w:r>
        <w:rPr>
          <w:rFonts w:ascii="宋体" w:hAnsi="宋体" w:cs="宋体"/>
          <w:color w:val="auto"/>
          <w:sz w:val="24"/>
          <w:highlight w:val="none"/>
        </w:rPr>
        <mc:AlternateContent>
          <mc:Choice Requires="wps">
            <w:drawing>
              <wp:anchor distT="0" distB="0" distL="114300" distR="114300" simplePos="0" relativeHeight="251665408" behindDoc="1" locked="0" layoutInCell="1" allowOverlap="1">
                <wp:simplePos x="0" y="0"/>
                <wp:positionH relativeFrom="column">
                  <wp:posOffset>3000375</wp:posOffset>
                </wp:positionH>
                <wp:positionV relativeFrom="paragraph">
                  <wp:posOffset>10160</wp:posOffset>
                </wp:positionV>
                <wp:extent cx="2533650" cy="1386840"/>
                <wp:effectExtent l="4445" t="4445" r="14605" b="18415"/>
                <wp:wrapSquare wrapText="bothSides"/>
                <wp:docPr id="13" name="圆角矩形 13"/>
                <wp:cNvGraphicFramePr/>
                <a:graphic xmlns:a="http://schemas.openxmlformats.org/drawingml/2006/main">
                  <a:graphicData uri="http://schemas.microsoft.com/office/word/2010/wordprocessingShape">
                    <wps:wsp>
                      <wps:cNvSpPr/>
                      <wps:spPr>
                        <a:xfrm>
                          <a:off x="0" y="0"/>
                          <a:ext cx="2533650" cy="1386840"/>
                        </a:xfrm>
                        <a:prstGeom prst="roundRect">
                          <a:avLst>
                            <a:gd name="adj" fmla="val 16667"/>
                          </a:avLst>
                        </a:prstGeom>
                        <a:solidFill>
                          <a:srgbClr val="FFFFFF">
                            <a:alpha val="0"/>
                          </a:srgbClr>
                        </a:solidFill>
                        <a:ln w="9525" cap="flat" cmpd="sng">
                          <a:solidFill>
                            <a:srgbClr val="000000"/>
                          </a:solidFill>
                          <a:prstDash val="dashDot"/>
                          <a:headEnd type="none" w="med" len="med"/>
                          <a:tailEnd type="none" w="med" len="med"/>
                        </a:ln>
                      </wps:spPr>
                      <wps:txbx>
                        <w:txbxContent>
                          <w:p w14:paraId="1D730D6A">
                            <w:pPr>
                              <w:ind w:firstLine="720" w:firstLineChars="300"/>
                              <w:rPr>
                                <w:rFonts w:ascii="宋体" w:cs="宋体"/>
                                <w:kern w:val="0"/>
                                <w:sz w:val="24"/>
                                <w:lang w:val="zh-CN"/>
                              </w:rPr>
                            </w:pPr>
                          </w:p>
                          <w:p w14:paraId="5F2672A3">
                            <w:pPr>
                              <w:ind w:firstLine="720" w:firstLineChars="300"/>
                              <w:rPr>
                                <w:rFonts w:ascii="宋体" w:cs="宋体"/>
                                <w:kern w:val="0"/>
                                <w:sz w:val="24"/>
                                <w:lang w:val="zh-CN"/>
                              </w:rPr>
                            </w:pPr>
                            <w:r>
                              <w:rPr>
                                <w:rFonts w:ascii="宋体" w:cs="宋体"/>
                                <w:kern w:val="0"/>
                                <w:sz w:val="24"/>
                                <w:lang w:val="zh-CN"/>
                              </w:rPr>
                              <w:t>被授</w:t>
                            </w:r>
                            <w:r>
                              <w:rPr>
                                <w:rFonts w:hint="eastAsia" w:ascii="宋体" w:cs="宋体"/>
                                <w:kern w:val="0"/>
                                <w:sz w:val="24"/>
                                <w:lang w:val="zh-CN"/>
                              </w:rPr>
                              <w:t>权</w:t>
                            </w:r>
                            <w:r>
                              <w:rPr>
                                <w:rFonts w:ascii="宋体" w:cs="宋体"/>
                                <w:kern w:val="0"/>
                                <w:sz w:val="24"/>
                                <w:lang w:val="zh-CN"/>
                              </w:rPr>
                              <w:t>人身份证复印件</w:t>
                            </w:r>
                          </w:p>
                          <w:p w14:paraId="1E6D5740">
                            <w:pPr>
                              <w:jc w:val="center"/>
                            </w:pPr>
                            <w:r>
                              <w:rPr>
                                <w:rFonts w:hint="eastAsia" w:ascii="宋体" w:cs="宋体"/>
                                <w:kern w:val="0"/>
                                <w:sz w:val="24"/>
                                <w:lang w:val="en-US" w:eastAsia="zh-CN"/>
                              </w:rPr>
                              <w:t xml:space="preserve">  </w:t>
                            </w:r>
                            <w:r>
                              <w:rPr>
                                <w:rFonts w:ascii="宋体" w:cs="宋体"/>
                                <w:kern w:val="0"/>
                                <w:sz w:val="24"/>
                                <w:lang w:val="zh-CN"/>
                              </w:rPr>
                              <w:t>反面粘贴处</w:t>
                            </w:r>
                          </w:p>
                          <w:p w14:paraId="063AA760">
                            <w:pPr>
                              <w:pStyle w:val="10"/>
                              <w:rPr>
                                <w:rFonts w:hint="default" w:eastAsia="宋体"/>
                                <w:lang w:val="en-US" w:eastAsia="zh-CN"/>
                              </w:rPr>
                            </w:pPr>
                          </w:p>
                        </w:txbxContent>
                      </wps:txbx>
                      <wps:bodyPr upright="1"/>
                    </wps:wsp>
                  </a:graphicData>
                </a:graphic>
              </wp:anchor>
            </w:drawing>
          </mc:Choice>
          <mc:Fallback>
            <w:pict>
              <v:roundrect id="_x0000_s1026" o:spid="_x0000_s1026" o:spt="2" style="position:absolute;left:0pt;margin-left:236.25pt;margin-top:0.8pt;height:109.2pt;width:199.5pt;mso-wrap-distance-bottom:0pt;mso-wrap-distance-left:9pt;mso-wrap-distance-right:9pt;mso-wrap-distance-top:0pt;z-index:-251651072;mso-width-relative:page;mso-height-relative:page;" fillcolor="#FFFFFF" filled="t" stroked="t" coordsize="21600,21600" arcsize="0.166666666666667" o:gfxdata="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tjiQQ1AAAAAkBAAAPAAAAAAAAAAEAIAAAACIAAABkcnMvZG93bnJldi54bWxQ&#10;SwECFAAUAAAACACHTuJA9lyzNDQCAAB4BAAADgAAAAAAAAABACAAAAAjAQAAZHJzL2Uyb0RvYy54&#10;bWxQSwUGAAAAAAYABgBZAQAAyQUAAAAA&#10;">
                <v:fill on="t" opacity="0f" focussize="0,0"/>
                <v:stroke color="#000000" joinstyle="round" dashstyle="dashDot"/>
                <v:imagedata o:title=""/>
                <o:lock v:ext="edit" aspectratio="f"/>
                <v:textbox>
                  <w:txbxContent>
                    <w:p w14:paraId="1D730D6A">
                      <w:pPr>
                        <w:ind w:firstLine="720" w:firstLineChars="300"/>
                        <w:rPr>
                          <w:rFonts w:ascii="宋体" w:cs="宋体"/>
                          <w:kern w:val="0"/>
                          <w:sz w:val="24"/>
                          <w:lang w:val="zh-CN"/>
                        </w:rPr>
                      </w:pPr>
                    </w:p>
                    <w:p w14:paraId="5F2672A3">
                      <w:pPr>
                        <w:ind w:firstLine="720" w:firstLineChars="300"/>
                        <w:rPr>
                          <w:rFonts w:ascii="宋体" w:cs="宋体"/>
                          <w:kern w:val="0"/>
                          <w:sz w:val="24"/>
                          <w:lang w:val="zh-CN"/>
                        </w:rPr>
                      </w:pPr>
                      <w:r>
                        <w:rPr>
                          <w:rFonts w:ascii="宋体" w:cs="宋体"/>
                          <w:kern w:val="0"/>
                          <w:sz w:val="24"/>
                          <w:lang w:val="zh-CN"/>
                        </w:rPr>
                        <w:t>被授</w:t>
                      </w:r>
                      <w:r>
                        <w:rPr>
                          <w:rFonts w:hint="eastAsia" w:ascii="宋体" w:cs="宋体"/>
                          <w:kern w:val="0"/>
                          <w:sz w:val="24"/>
                          <w:lang w:val="zh-CN"/>
                        </w:rPr>
                        <w:t>权</w:t>
                      </w:r>
                      <w:r>
                        <w:rPr>
                          <w:rFonts w:ascii="宋体" w:cs="宋体"/>
                          <w:kern w:val="0"/>
                          <w:sz w:val="24"/>
                          <w:lang w:val="zh-CN"/>
                        </w:rPr>
                        <w:t>人身份证复印件</w:t>
                      </w:r>
                    </w:p>
                    <w:p w14:paraId="1E6D5740">
                      <w:pPr>
                        <w:jc w:val="center"/>
                      </w:pPr>
                      <w:r>
                        <w:rPr>
                          <w:rFonts w:hint="eastAsia" w:ascii="宋体" w:cs="宋体"/>
                          <w:kern w:val="0"/>
                          <w:sz w:val="24"/>
                          <w:lang w:val="en-US" w:eastAsia="zh-CN"/>
                        </w:rPr>
                        <w:t xml:space="preserve">  </w:t>
                      </w:r>
                      <w:r>
                        <w:rPr>
                          <w:rFonts w:ascii="宋体" w:cs="宋体"/>
                          <w:kern w:val="0"/>
                          <w:sz w:val="24"/>
                          <w:lang w:val="zh-CN"/>
                        </w:rPr>
                        <w:t>反面粘贴处</w:t>
                      </w:r>
                    </w:p>
                    <w:p w14:paraId="063AA760">
                      <w:pPr>
                        <w:pStyle w:val="10"/>
                        <w:rPr>
                          <w:rFonts w:hint="default" w:eastAsia="宋体"/>
                          <w:lang w:val="en-US" w:eastAsia="zh-CN"/>
                        </w:rPr>
                      </w:pPr>
                    </w:p>
                  </w:txbxContent>
                </v:textbox>
                <w10:wrap type="square"/>
              </v:roundrect>
            </w:pict>
          </mc:Fallback>
        </mc:AlternateContent>
      </w:r>
    </w:p>
    <w:p w14:paraId="17F32646">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67456" behindDoc="0" locked="0" layoutInCell="1" allowOverlap="1">
                <wp:simplePos x="0" y="0"/>
                <wp:positionH relativeFrom="column">
                  <wp:posOffset>-2367915</wp:posOffset>
                </wp:positionH>
                <wp:positionV relativeFrom="paragraph">
                  <wp:posOffset>4445</wp:posOffset>
                </wp:positionV>
                <wp:extent cx="2027555" cy="842645"/>
                <wp:effectExtent l="5080" t="4445" r="5715" b="10160"/>
                <wp:wrapNone/>
                <wp:docPr id="12" name="文本框 12"/>
                <wp:cNvGraphicFramePr/>
                <a:graphic xmlns:a="http://schemas.openxmlformats.org/drawingml/2006/main">
                  <a:graphicData uri="http://schemas.microsoft.com/office/word/2010/wordprocessingShape">
                    <wps:wsp>
                      <wps:cNvSpPr txBox="1"/>
                      <wps:spPr>
                        <a:xfrm>
                          <a:off x="0" y="0"/>
                          <a:ext cx="2027555" cy="84264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DA8CB5B">
                            <w:pPr>
                              <w:jc w:val="center"/>
                              <w:rPr>
                                <w:rFonts w:ascii="宋体" w:cs="宋体"/>
                                <w:kern w:val="0"/>
                                <w:sz w:val="24"/>
                                <w:lang w:val="zh-CN"/>
                              </w:rPr>
                            </w:pPr>
                            <w:r>
                              <w:rPr>
                                <w:rFonts w:ascii="宋体" w:cs="宋体"/>
                                <w:kern w:val="0"/>
                                <w:sz w:val="24"/>
                                <w:lang w:val="zh-CN"/>
                              </w:rPr>
                              <w:t>被授权人身份证复印件</w:t>
                            </w:r>
                          </w:p>
                          <w:p w14:paraId="7B00E945">
                            <w:pPr>
                              <w:jc w:val="center"/>
                            </w:pPr>
                            <w:r>
                              <w:rPr>
                                <w:rFonts w:ascii="宋体" w:cs="宋体"/>
                                <w:kern w:val="0"/>
                                <w:sz w:val="24"/>
                              </w:rPr>
                              <w:t>正</w:t>
                            </w:r>
                            <w:r>
                              <w:rPr>
                                <w:rFonts w:ascii="宋体" w:cs="宋体"/>
                                <w:kern w:val="0"/>
                                <w:sz w:val="24"/>
                                <w:lang w:val="zh-CN"/>
                              </w:rPr>
                              <w:t>面粘贴处</w:t>
                            </w:r>
                          </w:p>
                        </w:txbxContent>
                      </wps:txbx>
                      <wps:bodyPr upright="1">
                        <a:spAutoFit/>
                      </wps:bodyPr>
                    </wps:wsp>
                  </a:graphicData>
                </a:graphic>
              </wp:anchor>
            </w:drawing>
          </mc:Choice>
          <mc:Fallback>
            <w:pict>
              <v:shape id="_x0000_s1026" o:spid="_x0000_s1026" o:spt="202" type="#_x0000_t202" style="position:absolute;left:0pt;margin-left:-186.45pt;margin-top:0.35pt;height:66.35pt;width:159.65pt;z-index:251667456;mso-width-relative:page;mso-height-relative:page;" fillcolor="#FFFFFF" filled="t" stroked="t" coordsize="21600,21600" o:gfxdata="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2kG6ctkAAAAJAQAADwAAAAAA&#10;AAABACAAAAAiAAAAZHJzL2Rvd25yZXYueG1sUEsBAhQAFAAAAAgAh07iQL/LH3ISAgAAUgQAAA4A&#10;AAAAAAAAAQAgAAAAKAEAAGRycy9lMm9Eb2MueG1sUEsFBgAAAAAGAAYAWQEAAKwFAAAAAA==&#10;">
                <v:fill on="t" focussize="0,0"/>
                <v:stroke color="#FFFFFF" joinstyle="miter"/>
                <v:imagedata o:title=""/>
                <o:lock v:ext="edit" aspectratio="f"/>
                <v:textbox style="mso-fit-shape-to-text:t;">
                  <w:txbxContent>
                    <w:p w14:paraId="2DA8CB5B">
                      <w:pPr>
                        <w:jc w:val="center"/>
                        <w:rPr>
                          <w:rFonts w:ascii="宋体" w:cs="宋体"/>
                          <w:kern w:val="0"/>
                          <w:sz w:val="24"/>
                          <w:lang w:val="zh-CN"/>
                        </w:rPr>
                      </w:pPr>
                      <w:r>
                        <w:rPr>
                          <w:rFonts w:ascii="宋体" w:cs="宋体"/>
                          <w:kern w:val="0"/>
                          <w:sz w:val="24"/>
                          <w:lang w:val="zh-CN"/>
                        </w:rPr>
                        <w:t>被授权人身份证复印件</w:t>
                      </w:r>
                    </w:p>
                    <w:p w14:paraId="7B00E945">
                      <w:pPr>
                        <w:jc w:val="center"/>
                      </w:pPr>
                      <w:r>
                        <w:rPr>
                          <w:rFonts w:ascii="宋体" w:cs="宋体"/>
                          <w:kern w:val="0"/>
                          <w:sz w:val="24"/>
                        </w:rPr>
                        <w:t>正</w:t>
                      </w:r>
                      <w:r>
                        <w:rPr>
                          <w:rFonts w:ascii="宋体" w:cs="宋体"/>
                          <w:kern w:val="0"/>
                          <w:sz w:val="24"/>
                          <w:lang w:val="zh-CN"/>
                        </w:rPr>
                        <w:t>面粘贴处</w:t>
                      </w:r>
                    </w:p>
                  </w:txbxContent>
                </v:textbox>
              </v:shape>
            </w:pict>
          </mc:Fallback>
        </mc:AlternateContent>
      </w:r>
      <w:r>
        <w:rPr>
          <w:rFonts w:ascii="宋体" w:hAnsi="宋体" w:cs="宋体"/>
          <w:color w:val="auto"/>
          <w:sz w:val="24"/>
          <w:highlight w:val="none"/>
        </w:rPr>
        <mc:AlternateContent>
          <mc:Choice Requires="wps">
            <w:drawing>
              <wp:anchor distT="0" distB="0" distL="114300" distR="114300" simplePos="0" relativeHeight="251668480" behindDoc="1" locked="0" layoutInCell="1" allowOverlap="1">
                <wp:simplePos x="0" y="0"/>
                <wp:positionH relativeFrom="column">
                  <wp:posOffset>-2377440</wp:posOffset>
                </wp:positionH>
                <wp:positionV relativeFrom="paragraph">
                  <wp:posOffset>15875</wp:posOffset>
                </wp:positionV>
                <wp:extent cx="2027555" cy="842645"/>
                <wp:effectExtent l="5080" t="4445" r="5715" b="0"/>
                <wp:wrapTight wrapText="bothSides">
                  <wp:wrapPolygon>
                    <wp:start x="-54" y="-172"/>
                    <wp:lineTo x="-54" y="21207"/>
                    <wp:lineTo x="21458" y="21207"/>
                    <wp:lineTo x="21458" y="-172"/>
                    <wp:lineTo x="-54" y="-172"/>
                  </wp:wrapPolygon>
                </wp:wrapTight>
                <wp:docPr id="11" name="文本框 11"/>
                <wp:cNvGraphicFramePr/>
                <a:graphic xmlns:a="http://schemas.openxmlformats.org/drawingml/2006/main">
                  <a:graphicData uri="http://schemas.microsoft.com/office/word/2010/wordprocessingShape">
                    <wps:wsp>
                      <wps:cNvSpPr txBox="1"/>
                      <wps:spPr>
                        <a:xfrm>
                          <a:off x="0" y="0"/>
                          <a:ext cx="2027555" cy="84264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C549143">
                            <w:pPr>
                              <w:jc w:val="center"/>
                              <w:rPr>
                                <w:rFonts w:ascii="宋体" w:cs="宋体"/>
                                <w:kern w:val="0"/>
                                <w:sz w:val="24"/>
                                <w:lang w:val="zh-CN"/>
                              </w:rPr>
                            </w:pPr>
                            <w:r>
                              <w:rPr>
                                <w:rFonts w:ascii="宋体" w:cs="宋体"/>
                                <w:kern w:val="0"/>
                                <w:sz w:val="24"/>
                                <w:lang w:val="zh-CN"/>
                              </w:rPr>
                              <w:t>被授权人身份证复印件</w:t>
                            </w:r>
                          </w:p>
                          <w:p w14:paraId="430A9E29">
                            <w:pPr>
                              <w:jc w:val="center"/>
                            </w:pPr>
                            <w:r>
                              <w:rPr>
                                <w:rFonts w:hint="eastAsia" w:ascii="宋体" w:cs="宋体"/>
                                <w:kern w:val="0"/>
                                <w:sz w:val="24"/>
                                <w:lang w:val="zh-CN"/>
                              </w:rPr>
                              <w:t>正</w:t>
                            </w:r>
                            <w:r>
                              <w:rPr>
                                <w:rFonts w:ascii="宋体" w:cs="宋体"/>
                                <w:kern w:val="0"/>
                                <w:sz w:val="24"/>
                                <w:lang w:val="zh-CN"/>
                              </w:rPr>
                              <w:t>面粘贴处</w:t>
                            </w:r>
                          </w:p>
                        </w:txbxContent>
                      </wps:txbx>
                      <wps:bodyPr upright="1">
                        <a:spAutoFit/>
                      </wps:bodyPr>
                    </wps:wsp>
                  </a:graphicData>
                </a:graphic>
              </wp:anchor>
            </w:drawing>
          </mc:Choice>
          <mc:Fallback>
            <w:pict>
              <v:shape id="_x0000_s1026" o:spid="_x0000_s1026" o:spt="202" type="#_x0000_t202" style="position:absolute;left:0pt;margin-left:-187.2pt;margin-top:1.25pt;height:66.35pt;width:159.65pt;mso-wrap-distance-left:9pt;mso-wrap-distance-right:9pt;z-index:-251648000;mso-width-relative:page;mso-height-relative:page;" fillcolor="#FFFFFF" filled="t" stroked="t" coordsize="21600,21600" wrapcoords="-54 -172 -54 21207 21458 21207 21458 -172 -54 -172" o:gfxdata="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LDDGtkAAAAKAQAADwAAAAAA&#10;AAABACAAAAAiAAAAZHJzL2Rvd25yZXYueG1sUEsBAhQAFAAAAAgAh07iQNc/7cASAgAAUgQAAA4A&#10;AAAAAAAAAQAgAAAAKAEAAGRycy9lMm9Eb2MueG1sUEsFBgAAAAAGAAYAWQEAAKwFAAAAAA==&#10;">
                <v:fill on="t" focussize="0,0"/>
                <v:stroke color="#FFFFFF" joinstyle="miter"/>
                <v:imagedata o:title=""/>
                <o:lock v:ext="edit" aspectratio="f"/>
                <v:textbox style="mso-fit-shape-to-text:t;">
                  <w:txbxContent>
                    <w:p w14:paraId="3C549143">
                      <w:pPr>
                        <w:jc w:val="center"/>
                        <w:rPr>
                          <w:rFonts w:ascii="宋体" w:cs="宋体"/>
                          <w:kern w:val="0"/>
                          <w:sz w:val="24"/>
                          <w:lang w:val="zh-CN"/>
                        </w:rPr>
                      </w:pPr>
                      <w:r>
                        <w:rPr>
                          <w:rFonts w:ascii="宋体" w:cs="宋体"/>
                          <w:kern w:val="0"/>
                          <w:sz w:val="24"/>
                          <w:lang w:val="zh-CN"/>
                        </w:rPr>
                        <w:t>被授权人身份证复印件</w:t>
                      </w:r>
                    </w:p>
                    <w:p w14:paraId="430A9E29">
                      <w:pPr>
                        <w:jc w:val="center"/>
                      </w:pPr>
                      <w:r>
                        <w:rPr>
                          <w:rFonts w:hint="eastAsia" w:ascii="宋体" w:cs="宋体"/>
                          <w:kern w:val="0"/>
                          <w:sz w:val="24"/>
                          <w:lang w:val="zh-CN"/>
                        </w:rPr>
                        <w:t>正</w:t>
                      </w:r>
                      <w:r>
                        <w:rPr>
                          <w:rFonts w:ascii="宋体" w:cs="宋体"/>
                          <w:kern w:val="0"/>
                          <w:sz w:val="24"/>
                          <w:lang w:val="zh-CN"/>
                        </w:rPr>
                        <w:t>面粘贴处</w:t>
                      </w:r>
                    </w:p>
                  </w:txbxContent>
                </v:textbox>
                <w10:wrap type="tight"/>
              </v:shape>
            </w:pict>
          </mc:Fallback>
        </mc:AlternateContent>
      </w:r>
    </w:p>
    <w:p w14:paraId="57D4D1AA">
      <w:pPr>
        <w:spacing w:line="560" w:lineRule="exact"/>
        <w:rPr>
          <w:rFonts w:ascii="宋体" w:hAnsi="宋体" w:cs="宋体"/>
          <w:color w:val="auto"/>
          <w:sz w:val="24"/>
          <w:highlight w:val="none"/>
        </w:rPr>
      </w:pPr>
    </w:p>
    <w:p w14:paraId="0655A103">
      <w:pPr>
        <w:widowControl/>
        <w:spacing w:line="560" w:lineRule="exact"/>
        <w:rPr>
          <w:rFonts w:hint="eastAsia" w:ascii="宋体" w:hAnsi="宋体" w:eastAsia="宋体" w:cs="宋体"/>
          <w:color w:val="auto"/>
          <w:kern w:val="0"/>
          <w:sz w:val="24"/>
          <w:highlight w:val="none"/>
          <w:lang w:eastAsia="zh-CN"/>
        </w:rPr>
      </w:pPr>
      <w:r>
        <w:rPr>
          <w:rFonts w:ascii="宋体" w:hAnsi="宋体" w:cs="宋体"/>
          <w:color w:val="auto"/>
          <w:kern w:val="0"/>
          <w:sz w:val="24"/>
          <w:highlight w:val="none"/>
        </w:rPr>
        <w:t>3.</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eastAsia="zh-CN"/>
        </w:rPr>
        <w:t>供应商缴纳税收和社会保障资金等证明告知承诺书</w:t>
      </w:r>
    </w:p>
    <w:p w14:paraId="348A49D8">
      <w:pPr>
        <w:widowControl/>
        <w:spacing w:line="560" w:lineRule="exact"/>
        <w:rPr>
          <w:rFonts w:ascii="宋体" w:hAnsi="宋体" w:cs="宋体"/>
          <w:color w:val="auto"/>
          <w:kern w:val="0"/>
          <w:sz w:val="24"/>
          <w:highlight w:val="none"/>
        </w:rPr>
      </w:pPr>
    </w:p>
    <w:p w14:paraId="51EC34E3">
      <w:pPr>
        <w:spacing w:line="360" w:lineRule="auto"/>
        <w:jc w:val="center"/>
        <w:rPr>
          <w:rFonts w:hint="default" w:ascii="宋体" w:hAnsi="宋体"/>
          <w:bCs/>
          <w:color w:val="auto"/>
          <w:sz w:val="24"/>
          <w:highlight w:val="none"/>
        </w:rPr>
      </w:pPr>
      <w:r>
        <w:rPr>
          <w:rFonts w:ascii="宋体" w:hAnsi="宋体"/>
          <w:bCs/>
          <w:color w:val="auto"/>
          <w:sz w:val="24"/>
          <w:highlight w:val="none"/>
        </w:rPr>
        <w:t>供应商缴纳税收和社会保障资金等证明告知承诺书</w:t>
      </w:r>
    </w:p>
    <w:p w14:paraId="22705F23">
      <w:pPr>
        <w:spacing w:line="360" w:lineRule="auto"/>
        <w:ind w:firstLine="480" w:firstLineChars="200"/>
        <w:rPr>
          <w:rFonts w:hint="default" w:ascii="宋体" w:hAnsi="宋体"/>
          <w:color w:val="auto"/>
          <w:sz w:val="24"/>
          <w:highlight w:val="none"/>
        </w:rPr>
      </w:pPr>
      <w:r>
        <w:rPr>
          <w:rFonts w:ascii="宋体" w:hAnsi="宋体"/>
          <w:color w:val="auto"/>
          <w:sz w:val="24"/>
          <w:highlight w:val="none"/>
        </w:rPr>
        <w:t>本公司（联合体）郑重承诺：</w:t>
      </w:r>
    </w:p>
    <w:p w14:paraId="737D05A1">
      <w:pPr>
        <w:spacing w:line="360" w:lineRule="auto"/>
        <w:ind w:firstLine="480" w:firstLineChars="200"/>
        <w:rPr>
          <w:rFonts w:hint="default" w:ascii="宋体" w:hAnsi="宋体"/>
          <w:color w:val="auto"/>
          <w:sz w:val="24"/>
          <w:highlight w:val="none"/>
        </w:rPr>
      </w:pPr>
      <w:r>
        <w:rPr>
          <w:rFonts w:ascii="宋体" w:hAnsi="宋体"/>
          <w:color w:val="auto"/>
          <w:sz w:val="24"/>
          <w:highlight w:val="none"/>
        </w:rPr>
        <w:t>1.承诺具有良好的商业信誉和健全的财务会计制度；</w:t>
      </w:r>
    </w:p>
    <w:p w14:paraId="3BDB1CE6">
      <w:pPr>
        <w:spacing w:line="360" w:lineRule="auto"/>
        <w:ind w:firstLine="480" w:firstLineChars="200"/>
        <w:rPr>
          <w:rFonts w:hint="default" w:ascii="宋体" w:hAnsi="宋体"/>
          <w:color w:val="auto"/>
          <w:sz w:val="24"/>
          <w:highlight w:val="none"/>
        </w:rPr>
      </w:pPr>
      <w:r>
        <w:rPr>
          <w:rFonts w:ascii="宋体" w:hAnsi="宋体"/>
          <w:color w:val="auto"/>
          <w:sz w:val="24"/>
          <w:highlight w:val="none"/>
        </w:rPr>
        <w:t>2.承诺依法缴纳税收和社会保障资金的良好记录；</w:t>
      </w:r>
    </w:p>
    <w:p w14:paraId="08A65956">
      <w:pPr>
        <w:spacing w:line="360" w:lineRule="auto"/>
        <w:ind w:firstLine="480" w:firstLineChars="200"/>
        <w:rPr>
          <w:rFonts w:hint="default" w:ascii="宋体" w:hAnsi="宋体"/>
          <w:color w:val="auto"/>
          <w:sz w:val="24"/>
          <w:highlight w:val="none"/>
        </w:rPr>
      </w:pPr>
      <w:r>
        <w:rPr>
          <w:rFonts w:ascii="宋体" w:hAnsi="宋体"/>
          <w:color w:val="auto"/>
          <w:sz w:val="24"/>
          <w:highlight w:val="none"/>
        </w:rPr>
        <w:t>3.承诺参加政府采购活动前三年内，在经营活动中没有重大违法记录。</w:t>
      </w:r>
    </w:p>
    <w:p w14:paraId="7C0F3E3E">
      <w:pPr>
        <w:spacing w:line="360" w:lineRule="auto"/>
        <w:ind w:firstLine="480" w:firstLineChars="200"/>
        <w:rPr>
          <w:rFonts w:hint="default" w:ascii="宋体" w:hAnsi="宋体"/>
          <w:color w:val="auto"/>
          <w:sz w:val="24"/>
          <w:highlight w:val="none"/>
        </w:rPr>
      </w:pPr>
      <w:r>
        <w:rPr>
          <w:rFonts w:ascii="宋体" w:hAnsi="宋体"/>
          <w:color w:val="auto"/>
          <w:sz w:val="24"/>
          <w:highlight w:val="none"/>
        </w:rPr>
        <w:t>我公司对上述承诺内容的真实性负责，如虚假承诺，将依法承担相应法律责任。</w:t>
      </w:r>
    </w:p>
    <w:p w14:paraId="44583D50">
      <w:pPr>
        <w:spacing w:line="360" w:lineRule="auto"/>
        <w:ind w:firstLine="5040" w:firstLineChars="2100"/>
        <w:rPr>
          <w:rFonts w:hint="default" w:ascii="宋体" w:hAnsi="宋体"/>
          <w:color w:val="auto"/>
          <w:sz w:val="24"/>
          <w:highlight w:val="none"/>
        </w:rPr>
      </w:pPr>
    </w:p>
    <w:p w14:paraId="1632FF10">
      <w:pPr>
        <w:spacing w:line="360" w:lineRule="auto"/>
        <w:ind w:firstLine="5040" w:firstLineChars="2100"/>
        <w:rPr>
          <w:rFonts w:hint="default" w:ascii="宋体" w:hAnsi="宋体"/>
          <w:color w:val="auto"/>
          <w:sz w:val="24"/>
          <w:highlight w:val="none"/>
        </w:rPr>
      </w:pPr>
      <w:r>
        <w:rPr>
          <w:rFonts w:ascii="宋体" w:hAnsi="宋体"/>
          <w:color w:val="auto"/>
          <w:sz w:val="24"/>
          <w:highlight w:val="none"/>
        </w:rPr>
        <w:t>承诺单位（公章）：</w:t>
      </w:r>
    </w:p>
    <w:p w14:paraId="519834D0">
      <w:pPr>
        <w:spacing w:line="360" w:lineRule="auto"/>
        <w:ind w:firstLine="960" w:firstLineChars="400"/>
        <w:rPr>
          <w:rFonts w:hint="default" w:ascii="宋体" w:hAnsi="宋体"/>
          <w:color w:val="auto"/>
          <w:sz w:val="24"/>
          <w:highlight w:val="none"/>
        </w:rPr>
      </w:pPr>
      <w:r>
        <w:rPr>
          <w:rFonts w:ascii="宋体" w:hAnsi="宋体"/>
          <w:color w:val="auto"/>
          <w:sz w:val="24"/>
          <w:highlight w:val="none"/>
        </w:rPr>
        <w:t>法定代表人（非法人组织的负责人）或其授权代表（签字或盖章）：</w:t>
      </w:r>
    </w:p>
    <w:p w14:paraId="785EAE2E">
      <w:pPr>
        <w:widowControl/>
        <w:spacing w:line="560" w:lineRule="exact"/>
        <w:rPr>
          <w:rFonts w:ascii="宋体" w:hAnsi="宋体" w:cs="宋体"/>
          <w:color w:val="auto"/>
          <w:kern w:val="0"/>
          <w:sz w:val="24"/>
          <w:highlight w:val="none"/>
        </w:rPr>
      </w:pPr>
      <w:r>
        <w:rPr>
          <w:rFonts w:hAnsi="宋体"/>
          <w:color w:val="auto"/>
          <w:sz w:val="24"/>
          <w:highlight w:val="none"/>
        </w:rPr>
        <w:t xml:space="preserve">                                               年 月 日</w:t>
      </w:r>
      <w:r>
        <w:rPr>
          <w:rFonts w:ascii="宋体" w:hAnsi="宋体" w:cs="宋体"/>
          <w:color w:val="auto"/>
          <w:kern w:val="0"/>
          <w:sz w:val="24"/>
          <w:highlight w:val="none"/>
        </w:rPr>
        <w:br w:type="page"/>
      </w:r>
      <w:r>
        <w:rPr>
          <w:rFonts w:ascii="宋体" w:hAnsi="宋体" w:cs="宋体"/>
          <w:color w:val="auto"/>
          <w:kern w:val="0"/>
          <w:sz w:val="24"/>
          <w:highlight w:val="none"/>
        </w:rPr>
        <w:t>3.</w:t>
      </w:r>
      <w:r>
        <w:rPr>
          <w:rFonts w:hint="eastAsia" w:ascii="宋体" w:hAnsi="宋体" w:cs="宋体"/>
          <w:color w:val="auto"/>
          <w:kern w:val="0"/>
          <w:sz w:val="24"/>
          <w:highlight w:val="none"/>
          <w:lang w:val="en-US" w:eastAsia="zh-CN"/>
        </w:rPr>
        <w:t>5</w:t>
      </w:r>
      <w:r>
        <w:rPr>
          <w:rFonts w:ascii="宋体" w:hAnsi="宋体" w:cs="宋体"/>
          <w:color w:val="auto"/>
          <w:kern w:val="0"/>
          <w:sz w:val="24"/>
          <w:highlight w:val="none"/>
        </w:rPr>
        <w:t>采购人要求响应供应商递交的其他资格审查材料</w:t>
      </w:r>
    </w:p>
    <w:p w14:paraId="0AF75E7B">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由响应供应商提供加盖公章的复印件或扫描件</w:t>
      </w:r>
    </w:p>
    <w:p w14:paraId="0E1342C4">
      <w:pPr>
        <w:spacing w:line="560" w:lineRule="exact"/>
        <w:ind w:firstLine="482" w:firstLineChars="200"/>
        <w:jc w:val="center"/>
        <w:rPr>
          <w:rFonts w:ascii="宋体" w:hAnsi="宋体" w:cs="宋体"/>
          <w:b/>
          <w:color w:val="auto"/>
          <w:sz w:val="24"/>
          <w:highlight w:val="none"/>
        </w:rPr>
      </w:pPr>
      <w:r>
        <w:rPr>
          <w:rFonts w:ascii="宋体" w:hAnsi="宋体" w:cs="宋体"/>
          <w:b/>
          <w:color w:val="auto"/>
          <w:sz w:val="24"/>
          <w:highlight w:val="none"/>
        </w:rPr>
        <w:br w:type="page"/>
      </w:r>
      <w:r>
        <w:rPr>
          <w:rFonts w:ascii="宋体" w:hAnsi="宋体" w:cs="宋体"/>
          <w:b/>
          <w:color w:val="auto"/>
          <w:sz w:val="24"/>
          <w:highlight w:val="none"/>
        </w:rPr>
        <w:t>四、其他部分</w:t>
      </w:r>
    </w:p>
    <w:p w14:paraId="72740173">
      <w:pPr>
        <w:spacing w:line="560" w:lineRule="exact"/>
        <w:rPr>
          <w:rFonts w:ascii="宋体" w:hAnsi="宋体" w:cs="宋体"/>
          <w:color w:val="auto"/>
          <w:kern w:val="0"/>
          <w:sz w:val="24"/>
          <w:highlight w:val="none"/>
        </w:rPr>
      </w:pPr>
      <w:r>
        <w:rPr>
          <w:rFonts w:ascii="宋体" w:hAnsi="宋体" w:cs="宋体"/>
          <w:color w:val="auto"/>
          <w:kern w:val="0"/>
          <w:sz w:val="24"/>
          <w:highlight w:val="none"/>
        </w:rPr>
        <w:t>4.</w:t>
      </w:r>
      <w:r>
        <w:rPr>
          <w:rFonts w:hint="eastAsia" w:ascii="宋体" w:hAnsi="宋体" w:cs="宋体"/>
          <w:color w:val="auto"/>
          <w:kern w:val="0"/>
          <w:sz w:val="24"/>
          <w:highlight w:val="none"/>
          <w:lang w:val="en-US" w:eastAsia="zh-CN"/>
        </w:rPr>
        <w:t>1</w:t>
      </w:r>
      <w:r>
        <w:rPr>
          <w:rFonts w:ascii="宋体" w:hAnsi="宋体" w:cs="宋体"/>
          <w:color w:val="auto"/>
          <w:kern w:val="0"/>
          <w:sz w:val="24"/>
          <w:highlight w:val="none"/>
        </w:rPr>
        <w:t>响应供应商认为需要提供的其他材料</w:t>
      </w:r>
    </w:p>
    <w:p w14:paraId="7307FEB4">
      <w:pPr>
        <w:spacing w:line="560" w:lineRule="exact"/>
        <w:ind w:firstLine="480" w:firstLineChars="200"/>
        <w:jc w:val="center"/>
        <w:outlineLvl w:val="0"/>
        <w:rPr>
          <w:rFonts w:ascii="宋体" w:hAnsi="宋体" w:cs="宋体"/>
          <w:color w:val="auto"/>
          <w:kern w:val="0"/>
          <w:sz w:val="24"/>
          <w:highlight w:val="none"/>
        </w:rPr>
      </w:pPr>
      <w:bookmarkStart w:id="30" w:name="_Toc25500"/>
      <w:r>
        <w:rPr>
          <w:rFonts w:ascii="宋体" w:hAnsi="宋体" w:cs="宋体"/>
          <w:color w:val="auto"/>
          <w:kern w:val="0"/>
          <w:sz w:val="24"/>
          <w:highlight w:val="none"/>
        </w:rPr>
        <w:t>由响应供应商提供加盖公章的复印件或扫描件</w:t>
      </w:r>
      <w:bookmarkEnd w:id="30"/>
    </w:p>
    <w:p w14:paraId="3FC01B8C">
      <w:pPr>
        <w:spacing w:line="560" w:lineRule="exact"/>
        <w:jc w:val="center"/>
        <w:rPr>
          <w:rFonts w:ascii="宋体" w:hAnsi="宋体" w:cs="宋体"/>
          <w:color w:val="auto"/>
          <w:sz w:val="24"/>
          <w:highlight w:val="none"/>
        </w:rPr>
      </w:pPr>
      <w:r>
        <w:rPr>
          <w:rFonts w:ascii="宋体" w:hAnsi="宋体" w:cs="宋体"/>
          <w:color w:val="auto"/>
          <w:sz w:val="24"/>
          <w:highlight w:val="none"/>
        </w:rPr>
        <w:br w:type="page"/>
      </w:r>
      <w:r>
        <w:rPr>
          <w:rFonts w:ascii="宋体" w:hAnsi="宋体" w:cs="宋体"/>
          <w:color w:val="auto"/>
          <w:sz w:val="24"/>
          <w:highlight w:val="none"/>
        </w:rPr>
        <w:t>磋商响应文件密封信封正面格式</w:t>
      </w:r>
    </w:p>
    <w:p w14:paraId="23C85DD8">
      <w:pPr>
        <w:spacing w:line="560" w:lineRule="exact"/>
        <w:jc w:val="center"/>
        <w:rPr>
          <w:rFonts w:ascii="宋体" w:hAnsi="宋体" w:cs="宋体"/>
          <w:color w:val="auto"/>
          <w:sz w:val="24"/>
          <w:highlight w:val="non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70F12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8528" w:type="dxa"/>
            <w:noWrap w:val="0"/>
            <w:vAlign w:val="top"/>
          </w:tcPr>
          <w:p w14:paraId="288E8C20">
            <w:pPr>
              <w:spacing w:line="560" w:lineRule="exact"/>
              <w:jc w:val="center"/>
              <w:rPr>
                <w:rFonts w:ascii="宋体" w:hAnsi="宋体" w:cs="宋体"/>
                <w:color w:val="auto"/>
                <w:sz w:val="24"/>
                <w:highlight w:val="none"/>
              </w:rPr>
            </w:pPr>
            <w:r>
              <w:rPr>
                <w:rFonts w:ascii="宋体" w:hAnsi="宋体" w:cs="宋体"/>
                <w:color w:val="auto"/>
                <w:sz w:val="24"/>
                <w:highlight w:val="none"/>
              </w:rPr>
              <w:t xml:space="preserve">                                                            正（副）本</w:t>
            </w:r>
          </w:p>
          <w:p w14:paraId="1D1DC189">
            <w:pPr>
              <w:spacing w:line="560" w:lineRule="exact"/>
              <w:ind w:firstLine="480" w:firstLineChars="200"/>
              <w:rPr>
                <w:rFonts w:ascii="宋体" w:hAnsi="宋体" w:cs="宋体"/>
                <w:color w:val="auto"/>
                <w:sz w:val="24"/>
                <w:highlight w:val="none"/>
                <w:u w:val="single"/>
              </w:rPr>
            </w:pPr>
            <w:r>
              <w:rPr>
                <w:rFonts w:ascii="宋体" w:hAnsi="宋体" w:cs="宋体"/>
                <w:color w:val="auto"/>
                <w:sz w:val="24"/>
                <w:highlight w:val="none"/>
              </w:rPr>
              <w:t>项目编号：</w:t>
            </w:r>
            <w:r>
              <w:rPr>
                <w:rFonts w:ascii="宋体" w:hAnsi="宋体" w:cs="宋体"/>
                <w:color w:val="auto"/>
                <w:sz w:val="24"/>
                <w:highlight w:val="none"/>
                <w:u w:val="single"/>
              </w:rPr>
              <w:t xml:space="preserve">                                              </w:t>
            </w:r>
          </w:p>
          <w:p w14:paraId="14404769">
            <w:pPr>
              <w:spacing w:line="560" w:lineRule="exact"/>
              <w:ind w:firstLine="480" w:firstLineChars="200"/>
              <w:rPr>
                <w:rFonts w:ascii="宋体" w:hAnsi="宋体" w:cs="宋体"/>
                <w:color w:val="auto"/>
                <w:sz w:val="24"/>
                <w:highlight w:val="none"/>
                <w:u w:val="single"/>
              </w:rPr>
            </w:pPr>
            <w:r>
              <w:rPr>
                <w:rFonts w:ascii="宋体" w:hAnsi="宋体" w:cs="宋体"/>
                <w:color w:val="auto"/>
                <w:sz w:val="24"/>
                <w:highlight w:val="none"/>
              </w:rPr>
              <w:t>项目名称及标包号：</w:t>
            </w:r>
            <w:r>
              <w:rPr>
                <w:rFonts w:ascii="宋体" w:hAnsi="宋体" w:cs="宋体"/>
                <w:color w:val="auto"/>
                <w:sz w:val="24"/>
                <w:highlight w:val="none"/>
                <w:u w:val="single"/>
              </w:rPr>
              <w:t xml:space="preserve">                                      </w:t>
            </w:r>
          </w:p>
          <w:p w14:paraId="09DE25D4">
            <w:pPr>
              <w:spacing w:line="560" w:lineRule="exact"/>
              <w:ind w:firstLine="480" w:firstLineChars="200"/>
              <w:rPr>
                <w:rFonts w:ascii="宋体" w:hAnsi="宋体" w:cs="宋体"/>
                <w:color w:val="auto"/>
                <w:sz w:val="24"/>
                <w:highlight w:val="none"/>
                <w:u w:val="single"/>
              </w:rPr>
            </w:pPr>
            <w:r>
              <w:rPr>
                <w:rFonts w:ascii="宋体" w:hAnsi="宋体" w:cs="宋体"/>
                <w:color w:val="auto"/>
                <w:sz w:val="24"/>
                <w:highlight w:val="none"/>
              </w:rPr>
              <w:t>磋商响应方名称：</w:t>
            </w:r>
            <w:r>
              <w:rPr>
                <w:rFonts w:ascii="宋体" w:hAnsi="宋体" w:cs="宋体"/>
                <w:color w:val="auto"/>
                <w:sz w:val="24"/>
                <w:highlight w:val="none"/>
                <w:u w:val="single"/>
              </w:rPr>
              <w:t xml:space="preserve">                            （加盖公章）</w:t>
            </w:r>
          </w:p>
          <w:p w14:paraId="5B476E0E">
            <w:pPr>
              <w:spacing w:line="560" w:lineRule="exact"/>
              <w:ind w:firstLine="480" w:firstLineChars="200"/>
              <w:rPr>
                <w:rFonts w:ascii="宋体" w:hAnsi="宋体" w:cs="宋体"/>
                <w:color w:val="auto"/>
                <w:sz w:val="24"/>
                <w:highlight w:val="none"/>
                <w:u w:val="single"/>
              </w:rPr>
            </w:pPr>
            <w:r>
              <w:rPr>
                <w:rFonts w:ascii="宋体" w:hAnsi="宋体" w:cs="宋体"/>
                <w:color w:val="auto"/>
                <w:sz w:val="24"/>
                <w:highlight w:val="none"/>
              </w:rPr>
              <w:t>地址：</w:t>
            </w:r>
            <w:r>
              <w:rPr>
                <w:rFonts w:ascii="宋体" w:hAnsi="宋体" w:cs="宋体"/>
                <w:color w:val="auto"/>
                <w:sz w:val="24"/>
                <w:highlight w:val="none"/>
                <w:u w:val="single"/>
              </w:rPr>
              <w:t xml:space="preserve">                                                  </w:t>
            </w:r>
          </w:p>
          <w:p w14:paraId="4FA55A97">
            <w:pPr>
              <w:spacing w:line="560" w:lineRule="exact"/>
              <w:ind w:firstLine="480" w:firstLineChars="200"/>
              <w:rPr>
                <w:rFonts w:ascii="宋体" w:hAnsi="宋体" w:cs="宋体"/>
                <w:color w:val="auto"/>
                <w:sz w:val="24"/>
                <w:highlight w:val="none"/>
                <w:u w:val="single"/>
              </w:rPr>
            </w:pPr>
            <w:r>
              <w:rPr>
                <w:rFonts w:ascii="宋体" w:hAnsi="宋体" w:cs="宋体"/>
                <w:color w:val="auto"/>
                <w:sz w:val="24"/>
                <w:highlight w:val="none"/>
              </w:rPr>
              <w:t>电话：</w:t>
            </w:r>
            <w:r>
              <w:rPr>
                <w:rFonts w:ascii="宋体" w:hAnsi="宋体" w:cs="宋体"/>
                <w:color w:val="auto"/>
                <w:sz w:val="24"/>
                <w:highlight w:val="none"/>
                <w:u w:val="single"/>
              </w:rPr>
              <w:t xml:space="preserve">                                                  </w:t>
            </w:r>
          </w:p>
          <w:p w14:paraId="424D4E87">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传真：</w:t>
            </w:r>
            <w:r>
              <w:rPr>
                <w:rFonts w:ascii="宋体" w:hAnsi="宋体" w:cs="宋体"/>
                <w:color w:val="auto"/>
                <w:sz w:val="24"/>
                <w:highlight w:val="none"/>
                <w:u w:val="single"/>
              </w:rPr>
              <w:t xml:space="preserve">                                                  </w:t>
            </w:r>
          </w:p>
        </w:tc>
      </w:tr>
    </w:tbl>
    <w:p w14:paraId="4528CFBA">
      <w:pPr>
        <w:spacing w:line="560" w:lineRule="exact"/>
        <w:rPr>
          <w:rFonts w:ascii="宋体" w:hAnsi="宋体" w:cs="宋体"/>
          <w:color w:val="auto"/>
          <w:sz w:val="24"/>
          <w:highlight w:val="none"/>
        </w:rPr>
      </w:pPr>
    </w:p>
    <w:p w14:paraId="3F2458FD">
      <w:pPr>
        <w:spacing w:line="560" w:lineRule="exact"/>
        <w:jc w:val="center"/>
        <w:rPr>
          <w:rFonts w:ascii="宋体" w:hAnsi="宋体" w:cs="宋体"/>
          <w:bCs/>
          <w:color w:val="auto"/>
          <w:sz w:val="24"/>
          <w:highlight w:val="none"/>
        </w:rPr>
      </w:pPr>
      <w:r>
        <w:rPr>
          <w:rFonts w:ascii="宋体" w:hAnsi="宋体" w:cs="宋体"/>
          <w:bCs/>
          <w:color w:val="auto"/>
          <w:sz w:val="24"/>
          <w:highlight w:val="none"/>
        </w:rPr>
        <w:t>磋商响应文件密封信封封口格式</w:t>
      </w:r>
    </w:p>
    <w:p w14:paraId="1D6CBB5F">
      <w:pPr>
        <w:pStyle w:val="6"/>
        <w:spacing w:line="560" w:lineRule="exact"/>
        <w:rPr>
          <w:rFonts w:ascii="宋体" w:hAnsi="宋体" w:cs="宋体"/>
          <w:bCs/>
          <w:color w:val="auto"/>
          <w:sz w:val="24"/>
          <w:szCs w:val="24"/>
          <w:highlight w:val="non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0C5AF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4" w:hRule="atLeast"/>
          <w:jc w:val="center"/>
        </w:trPr>
        <w:tc>
          <w:tcPr>
            <w:tcW w:w="8528" w:type="dxa"/>
            <w:noWrap w:val="0"/>
            <w:vAlign w:val="top"/>
          </w:tcPr>
          <w:p w14:paraId="18504F6E">
            <w:pPr>
              <w:spacing w:line="560" w:lineRule="exact"/>
              <w:rPr>
                <w:rFonts w:ascii="宋体" w:hAnsi="宋体" w:cs="宋体"/>
                <w:bCs/>
                <w:color w:val="auto"/>
                <w:sz w:val="24"/>
                <w:highlight w:val="none"/>
              </w:rPr>
            </w:pPr>
          </w:p>
          <w:p w14:paraId="739638E7">
            <w:pPr>
              <w:spacing w:line="560" w:lineRule="exact"/>
              <w:rPr>
                <w:rFonts w:ascii="宋体" w:hAnsi="宋体" w:cs="宋体"/>
                <w:bCs/>
                <w:color w:val="auto"/>
                <w:sz w:val="24"/>
                <w:highlight w:val="none"/>
              </w:rPr>
            </w:pPr>
          </w:p>
          <w:p w14:paraId="0891883F">
            <w:pPr>
              <w:spacing w:line="560" w:lineRule="exact"/>
              <w:rPr>
                <w:rFonts w:ascii="宋体" w:hAnsi="宋体" w:cs="宋体"/>
                <w:bCs/>
                <w:color w:val="auto"/>
                <w:sz w:val="24"/>
                <w:highlight w:val="none"/>
              </w:rPr>
            </w:pPr>
          </w:p>
          <w:p w14:paraId="3E1EC553">
            <w:pPr>
              <w:spacing w:line="560" w:lineRule="exact"/>
              <w:jc w:val="center"/>
              <w:rPr>
                <w:rFonts w:ascii="宋体" w:hAnsi="宋体" w:cs="宋体"/>
                <w:bCs/>
                <w:color w:val="auto"/>
                <w:sz w:val="24"/>
                <w:highlight w:val="none"/>
              </w:rPr>
            </w:pPr>
            <w:r>
              <w:rPr>
                <w:rFonts w:ascii="宋体" w:hAnsi="宋体" w:cs="宋体"/>
                <w:bCs/>
                <w:color w:val="auto"/>
                <w:sz w:val="24"/>
                <w:highlight w:val="none"/>
              </w:rPr>
              <w:t>……于</w:t>
            </w:r>
            <w:r>
              <w:rPr>
                <w:rFonts w:hint="eastAsia" w:ascii="宋体" w:hAnsi="宋体" w:cs="宋体"/>
                <w:bCs/>
                <w:color w:val="auto"/>
                <w:sz w:val="24"/>
                <w:highlight w:val="none"/>
                <w:u w:val="single"/>
                <w:lang w:val="en-US" w:eastAsia="zh-CN"/>
              </w:rPr>
              <w:t>2025</w:t>
            </w:r>
            <w:r>
              <w:rPr>
                <w:rFonts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07</w:t>
            </w:r>
            <w:r>
              <w:rPr>
                <w:rFonts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28</w:t>
            </w:r>
            <w:r>
              <w:rPr>
                <w:rFonts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09</w:t>
            </w:r>
            <w:r>
              <w:rPr>
                <w:rFonts w:ascii="宋体" w:hAnsi="宋体" w:cs="宋体"/>
                <w:bCs/>
                <w:color w:val="auto"/>
                <w:sz w:val="24"/>
                <w:highlight w:val="none"/>
                <w:u w:val="single"/>
              </w:rPr>
              <w:t>时</w:t>
            </w:r>
            <w:r>
              <w:rPr>
                <w:rFonts w:hint="eastAsia" w:ascii="宋体" w:hAnsi="宋体" w:cs="宋体"/>
                <w:bCs/>
                <w:color w:val="auto"/>
                <w:sz w:val="24"/>
                <w:highlight w:val="none"/>
                <w:u w:val="single"/>
                <w:lang w:val="en-US" w:eastAsia="zh-CN"/>
              </w:rPr>
              <w:t>30</w:t>
            </w:r>
            <w:r>
              <w:rPr>
                <w:rFonts w:ascii="宋体" w:hAnsi="宋体" w:cs="宋体"/>
                <w:bCs/>
                <w:color w:val="auto"/>
                <w:sz w:val="24"/>
                <w:highlight w:val="none"/>
                <w:u w:val="single"/>
              </w:rPr>
              <w:t>分</w:t>
            </w:r>
            <w:r>
              <w:rPr>
                <w:rFonts w:ascii="宋体" w:hAnsi="宋体" w:cs="宋体"/>
                <w:bCs/>
                <w:color w:val="auto"/>
                <w:sz w:val="24"/>
                <w:highlight w:val="none"/>
              </w:rPr>
              <w:t>前不准启封（加盖公章）……</w:t>
            </w:r>
          </w:p>
          <w:p w14:paraId="6F192AA7">
            <w:pPr>
              <w:spacing w:line="560" w:lineRule="exact"/>
              <w:rPr>
                <w:rFonts w:ascii="宋体" w:hAnsi="宋体" w:cs="宋体"/>
                <w:bCs/>
                <w:color w:val="auto"/>
                <w:sz w:val="24"/>
                <w:highlight w:val="none"/>
              </w:rPr>
            </w:pPr>
            <w:r>
              <w:rPr>
                <w:rFonts w:ascii="宋体" w:hAnsi="宋体" w:cs="宋体"/>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7" name="直接连接符 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&#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Lmjc1wAAAAoBAAAPAAAAAAAAAAEAIAAAACIAAABk&#10;cnMvZG93bnJldi54bWxQSwECFAAUAAAACACHTuJAvB+37gcCAADzAwAADgAAAAAAAAABACAAAAAm&#10;AQAAZHJzL2Uyb0RvYy54bWxQSwUGAAAAAAYABgBZAQAAnwUAAAAA&#10;">
                      <v:fill on="f" focussize="0,0"/>
                      <v:stroke color="#000000" joinstyle="round" endarrow="block"/>
                      <v:imagedata o:title=""/>
                      <o:lock v:ext="edit" aspectratio="f"/>
                    </v:line>
                  </w:pict>
                </mc:Fallback>
              </mc:AlternateContent>
            </w:r>
          </w:p>
          <w:p w14:paraId="7648CE69">
            <w:pPr>
              <w:pStyle w:val="6"/>
              <w:spacing w:line="560" w:lineRule="exact"/>
              <w:rPr>
                <w:rFonts w:ascii="宋体" w:hAnsi="宋体" w:cs="宋体"/>
                <w:bCs/>
                <w:color w:val="auto"/>
                <w:sz w:val="24"/>
                <w:szCs w:val="24"/>
                <w:highlight w:val="none"/>
              </w:rPr>
            </w:pPr>
          </w:p>
          <w:p w14:paraId="49463E26">
            <w:pPr>
              <w:spacing w:line="560" w:lineRule="exact"/>
              <w:rPr>
                <w:rFonts w:ascii="宋体" w:hAnsi="宋体" w:cs="宋体"/>
                <w:bCs/>
                <w:color w:val="auto"/>
                <w:sz w:val="24"/>
                <w:highlight w:val="none"/>
              </w:rPr>
            </w:pPr>
          </w:p>
          <w:p w14:paraId="222E3BBE">
            <w:pPr>
              <w:spacing w:line="560" w:lineRule="exact"/>
              <w:rPr>
                <w:rFonts w:ascii="宋体" w:hAnsi="宋体" w:cs="宋体"/>
                <w:bCs/>
                <w:color w:val="auto"/>
                <w:sz w:val="24"/>
                <w:highlight w:val="none"/>
              </w:rPr>
            </w:pPr>
          </w:p>
          <w:p w14:paraId="03B4184E">
            <w:pPr>
              <w:pStyle w:val="26"/>
              <w:widowControl w:val="0"/>
              <w:spacing w:before="0" w:beforeAutospacing="0" w:after="0" w:afterAutospacing="0" w:line="560" w:lineRule="exact"/>
              <w:textAlignment w:val="auto"/>
              <w:rPr>
                <w:rFonts w:ascii="宋体" w:hAnsi="宋体" w:eastAsia="宋体" w:cs="宋体"/>
                <w:bCs/>
                <w:color w:val="auto"/>
                <w:kern w:val="2"/>
                <w:highlight w:val="none"/>
              </w:rPr>
            </w:pPr>
            <w:r>
              <w:rPr>
                <w:rFonts w:ascii="宋体" w:hAnsi="宋体" w:eastAsia="宋体" w:cs="宋体"/>
                <w:bCs/>
                <w:color w:val="auto"/>
                <w:kern w:val="2"/>
                <w:highlight w:val="none"/>
              </w:rPr>
              <w:t>（封口处）</w:t>
            </w:r>
          </w:p>
        </w:tc>
      </w:tr>
    </w:tbl>
    <w:p w14:paraId="61D31E09">
      <w:pPr>
        <w:rPr>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F1F83">
    <w:pPr>
      <w:pStyle w:val="7"/>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98B55">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635</wp:posOffset>
              </wp:positionV>
              <wp:extent cx="57785" cy="2286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8B4930F">
                          <w:pPr>
                            <w:pStyle w:val="7"/>
                            <w:rPr>
                              <w:rStyle w:val="16"/>
                            </w:rPr>
                          </w:pPr>
                          <w:r>
                            <w:fldChar w:fldCharType="begin"/>
                          </w:r>
                          <w:r>
                            <w:rPr>
                              <w:rStyle w:val="16"/>
                            </w:rPr>
                            <w:instrText xml:space="preserve">PAGE  </w:instrText>
                          </w:r>
                          <w:r>
                            <w:fldChar w:fldCharType="separate"/>
                          </w:r>
                          <w:r>
                            <w:rPr>
                              <w:rStyle w:val="16"/>
                              <w:rFonts w:hint="default"/>
                            </w:rP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05pt;height:18pt;width:4.55pt;mso-position-horizontal:center;mso-position-horizontal-relative:margin;mso-wrap-style:none;z-index:251662336;mso-width-relative:page;mso-height-relative:page;" filled="f" stroked="f" coordsize="21600,21600" o:gfxdata="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HPeubQAAAAAgEAAA8AAAAAAAAAAQAgAAAAIgAA&#10;AGRycy9kb3ducmV2LnhtbFBLAQIUABQAAAAIAIdO4kBl/VkA1wEAALADAAAOAAAAAAAAAAEAIAAA&#10;AB8BAABkcnMvZTJvRG9jLnhtbFBLBQYAAAAABgAGAFkBAABoBQAAAAA=&#10;">
              <v:fill on="f" focussize="0,0"/>
              <v:stroke on="f"/>
              <v:imagedata o:title=""/>
              <o:lock v:ext="edit" aspectratio="f"/>
              <v:textbox inset="0mm,0mm,0mm,0mm" style="mso-fit-shape-to-text:t;">
                <w:txbxContent>
                  <w:p w14:paraId="38B4930F">
                    <w:pPr>
                      <w:pStyle w:val="7"/>
                      <w:rPr>
                        <w:rStyle w:val="16"/>
                      </w:rPr>
                    </w:pPr>
                    <w:r>
                      <w:fldChar w:fldCharType="begin"/>
                    </w:r>
                    <w:r>
                      <w:rPr>
                        <w:rStyle w:val="16"/>
                      </w:rPr>
                      <w:instrText xml:space="preserve">PAGE  </w:instrText>
                    </w:r>
                    <w:r>
                      <w:fldChar w:fldCharType="separate"/>
                    </w:r>
                    <w:r>
                      <w:rPr>
                        <w:rStyle w:val="16"/>
                        <w:rFonts w:hint="default"/>
                      </w:rP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D86C8">
    <w:pPr>
      <w:pStyle w:val="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635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0025C0F">
                          <w:pPr>
                            <w:snapToGrid w:val="0"/>
                            <w:rPr>
                              <w:sz w:val="18"/>
                            </w:rPr>
                          </w:pPr>
                          <w:r>
                            <w:rPr>
                              <w:sz w:val="18"/>
                            </w:rPr>
                            <w:fldChar w:fldCharType="begin"/>
                          </w:r>
                          <w:r>
                            <w:rPr>
                              <w:sz w:val="18"/>
                            </w:rPr>
                            <w:instrText xml:space="preserve"> PAGE  \* MERGEFORMAT </w:instrText>
                          </w:r>
                          <w:r>
                            <w:rPr>
                              <w:sz w:val="18"/>
                            </w:rPr>
                            <w:fldChar w:fldCharType="separate"/>
                          </w:r>
                          <w:r>
                            <w:t>1</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05pt;height:144pt;width:144pt;mso-position-horizontal:center;mso-position-horizontal-relative:margin;mso-wrap-style:none;z-index:251663360;mso-width-relative:page;mso-height-relative:page;" filled="f" stroked="f" coordsize="21600,21600" o:gfxdata="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T5r7tAAAAAFAQAADwAAAAAAAAABACAAAAAiAAAA&#10;ZHJzL2Rvd25yZXYueG1sUEsBAhQAFAAAAAgAh07iQLK2GTnWAQAAsAMAAA4AAAAAAAAAAQAgAAAA&#10;HwEAAGRycy9lMm9Eb2MueG1sUEsFBgAAAAAGAAYAWQEAAGcFAAAAAA==&#10;">
              <v:fill on="f" focussize="0,0"/>
              <v:stroke on="f"/>
              <v:imagedata o:title=""/>
              <o:lock v:ext="edit" aspectratio="f"/>
              <v:textbox inset="0mm,0mm,0mm,0mm" style="mso-fit-shape-to-text:t;">
                <w:txbxContent>
                  <w:p w14:paraId="20025C0F">
                    <w:pPr>
                      <w:snapToGrid w:val="0"/>
                      <w:rPr>
                        <w:sz w:val="18"/>
                      </w:rPr>
                    </w:pPr>
                    <w:r>
                      <w:rPr>
                        <w:sz w:val="18"/>
                      </w:rPr>
                      <w:fldChar w:fldCharType="begin"/>
                    </w:r>
                    <w:r>
                      <w:rPr>
                        <w:sz w:val="18"/>
                      </w:rPr>
                      <w:instrText xml:space="preserve"> PAGE  \* MERGEFORMAT </w:instrText>
                    </w:r>
                    <w:r>
                      <w:rPr>
                        <w:sz w:val="18"/>
                      </w:rPr>
                      <w:fldChar w:fldCharType="separate"/>
                    </w:r>
                    <w:r>
                      <w:t>1</w:t>
                    </w:r>
                    <w:r>
                      <w:rPr>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30E68">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635</wp:posOffset>
              </wp:positionV>
              <wp:extent cx="114935" cy="2286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FA9D6CE">
                          <w:pPr>
                            <w:pStyle w:val="7"/>
                            <w:rPr>
                              <w:rStyle w:val="16"/>
                            </w:rPr>
                          </w:pPr>
                          <w:r>
                            <w:fldChar w:fldCharType="begin"/>
                          </w:r>
                          <w:r>
                            <w:rPr>
                              <w:rStyle w:val="16"/>
                            </w:rPr>
                            <w:instrText xml:space="preserve">PAGE  </w:instrText>
                          </w:r>
                          <w:r>
                            <w:fldChar w:fldCharType="separate"/>
                          </w:r>
                          <w:r>
                            <w:rPr>
                              <w:rStyle w:val="16"/>
                              <w:rFonts w:hint="default"/>
                            </w:rPr>
                            <w:t>21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05pt;height:18pt;width:9.05pt;mso-position-horizontal:center;mso-position-horizontal-relative:margin;mso-wrap-style:none;z-index:251660288;mso-width-relative:page;mso-height-relative:page;" filled="f" stroked="f" coordsize="21600,21600" o:gfxdata="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0+fFANAAAAADAQAADwAAAAAAAAABACAAAAAiAAAA&#10;ZHJzL2Rvd25yZXYueG1sUEsBAhQAFAAAAAgAh07iQNe0otbWAQAAsgMAAA4AAAAAAAAAAQAgAAAA&#10;HwEAAGRycy9lMm9Eb2MueG1sUEsFBgAAAAAGAAYAWQEAAGcFAAAAAA==&#10;">
              <v:fill on="f" focussize="0,0"/>
              <v:stroke on="f"/>
              <v:imagedata o:title=""/>
              <o:lock v:ext="edit" aspectratio="f"/>
              <v:textbox inset="0mm,0mm,0mm,0mm" style="mso-fit-shape-to-text:t;">
                <w:txbxContent>
                  <w:p w14:paraId="5FA9D6CE">
                    <w:pPr>
                      <w:pStyle w:val="7"/>
                      <w:rPr>
                        <w:rStyle w:val="16"/>
                      </w:rPr>
                    </w:pPr>
                    <w:r>
                      <w:fldChar w:fldCharType="begin"/>
                    </w:r>
                    <w:r>
                      <w:rPr>
                        <w:rStyle w:val="16"/>
                      </w:rPr>
                      <w:instrText xml:space="preserve">PAGE  </w:instrText>
                    </w:r>
                    <w:r>
                      <w:fldChar w:fldCharType="separate"/>
                    </w:r>
                    <w:r>
                      <w:rPr>
                        <w:rStyle w:val="16"/>
                        <w:rFonts w:hint="default"/>
                      </w:rP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5379F">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635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BEDDC0E">
                          <w:pPr>
                            <w:snapToGrid w:val="0"/>
                            <w:rPr>
                              <w:sz w:val="18"/>
                            </w:rPr>
                          </w:pPr>
                          <w:r>
                            <w:rPr>
                              <w:sz w:val="18"/>
                            </w:rPr>
                            <w:fldChar w:fldCharType="begin"/>
                          </w:r>
                          <w:r>
                            <w:rPr>
                              <w:sz w:val="18"/>
                            </w:rPr>
                            <w:instrText xml:space="preserve"> PAGE  \* MERGEFORMAT </w:instrText>
                          </w:r>
                          <w:r>
                            <w:rPr>
                              <w:sz w:val="18"/>
                            </w:rPr>
                            <w:fldChar w:fldCharType="separate"/>
                          </w:r>
                          <w:r>
                            <w:rPr>
                              <w:rFonts w:hint="default"/>
                            </w:rPr>
                            <w:t>2</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05pt;height:144pt;width:144pt;mso-position-horizontal:center;mso-position-horizontal-relative:margin;mso-wrap-style:none;z-index:251661312;mso-width-relative:page;mso-height-relative:page;" filled="f" stroked="f" coordsize="21600,21600" o:gfxdata="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JPmvu0AAAAAUBAAAPAAAAAAAAAAEAIAAAACIA&#10;AABkcnMvZG93bnJldi54bWxQSwECFAAUAAAACACHTuJAF8a2odgBAACwAwAADgAAAAAAAAABACAA&#10;AAAfAQAAZHJzL2Uyb0RvYy54bWxQSwUGAAAAAAYABgBZAQAAaQUAAAAA&#10;">
              <v:fill on="f" focussize="0,0"/>
              <v:stroke on="f"/>
              <v:imagedata o:title=""/>
              <o:lock v:ext="edit" aspectratio="f"/>
              <v:textbox inset="0mm,0mm,0mm,0mm" style="mso-fit-shape-to-text:t;">
                <w:txbxContent>
                  <w:p w14:paraId="2BEDDC0E">
                    <w:pPr>
                      <w:snapToGrid w:val="0"/>
                      <w:rPr>
                        <w:sz w:val="18"/>
                      </w:rPr>
                    </w:pPr>
                    <w:r>
                      <w:rPr>
                        <w:sz w:val="18"/>
                      </w:rPr>
                      <w:fldChar w:fldCharType="begin"/>
                    </w:r>
                    <w:r>
                      <w:rPr>
                        <w:sz w:val="18"/>
                      </w:rPr>
                      <w:instrText xml:space="preserve"> PAGE  \* MERGEFORMAT </w:instrText>
                    </w:r>
                    <w:r>
                      <w:rPr>
                        <w:sz w:val="18"/>
                      </w:rPr>
                      <w:fldChar w:fldCharType="separate"/>
                    </w:r>
                    <w:r>
                      <w:rPr>
                        <w:rFonts w:hint="default"/>
                      </w:rPr>
                      <w:t>2</w:t>
                    </w:r>
                    <w:r>
                      <w:rPr>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DB666">
    <w:pPr>
      <w:pStyle w:val="8"/>
      <w:pBdr>
        <w:top w:val="none" w:color="auto" w:sz="0" w:space="0"/>
        <w:left w:val="none" w:color="auto" w:sz="0" w:space="0"/>
        <w:bottom w:val="none" w:color="auto" w:sz="0" w:space="1"/>
        <w:right w:val="none" w:color="auto" w:sz="0" w:space="0"/>
        <w:between w:val="none" w:color="auto" w:sz="0" w:space="0"/>
      </w:pBdr>
      <w:jc w:val="right"/>
      <w:rPr>
        <w:b/>
        <w:bCs/>
        <w:i/>
        <w:i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74936">
    <w:pPr>
      <w:pStyle w:val="8"/>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A6295">
    <w:pPr>
      <w:pStyle w:val="8"/>
      <w:pBdr>
        <w:top w:val="none" w:color="auto" w:sz="0" w:space="0"/>
        <w:left w:val="none" w:color="auto" w:sz="0" w:space="0"/>
        <w:bottom w:val="none" w:color="auto" w:sz="0" w:space="1"/>
        <w:right w:val="none" w:color="auto" w:sz="0" w:space="0"/>
        <w:between w:val="none" w:color="auto" w:sz="0" w:space="0"/>
      </w:pBdr>
      <w:jc w:val="right"/>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0"/>
      <w:numFmt w:val="chineseCounting"/>
      <w:suff w:val="nothing"/>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hM2ZiMmExODc0NjBkNThhN2MyYTU5MThjYWIxNzYifQ=="/>
  </w:docVars>
  <w:rsids>
    <w:rsidRoot w:val="1B25049A"/>
    <w:rsid w:val="01E54FA6"/>
    <w:rsid w:val="02E96BA9"/>
    <w:rsid w:val="07034EA7"/>
    <w:rsid w:val="08894C2D"/>
    <w:rsid w:val="08AB6853"/>
    <w:rsid w:val="0A9250CD"/>
    <w:rsid w:val="0DAC116E"/>
    <w:rsid w:val="0F2271F9"/>
    <w:rsid w:val="11BE7A69"/>
    <w:rsid w:val="147E1C7A"/>
    <w:rsid w:val="17A7481C"/>
    <w:rsid w:val="195B6BFB"/>
    <w:rsid w:val="1B25049A"/>
    <w:rsid w:val="1C6963B1"/>
    <w:rsid w:val="1FD9652E"/>
    <w:rsid w:val="227E692E"/>
    <w:rsid w:val="252852A7"/>
    <w:rsid w:val="288F1FE3"/>
    <w:rsid w:val="2EDD7F33"/>
    <w:rsid w:val="32E94526"/>
    <w:rsid w:val="34222CC7"/>
    <w:rsid w:val="35BB33E5"/>
    <w:rsid w:val="35FF4AAA"/>
    <w:rsid w:val="37B409D1"/>
    <w:rsid w:val="383733B0"/>
    <w:rsid w:val="3AE0040A"/>
    <w:rsid w:val="3C2A138A"/>
    <w:rsid w:val="44AB18A7"/>
    <w:rsid w:val="463B2ADB"/>
    <w:rsid w:val="53DA4EC3"/>
    <w:rsid w:val="54D9161F"/>
    <w:rsid w:val="574006BC"/>
    <w:rsid w:val="574216FD"/>
    <w:rsid w:val="57C135C4"/>
    <w:rsid w:val="583059FA"/>
    <w:rsid w:val="5A6C57F7"/>
    <w:rsid w:val="5B2D3538"/>
    <w:rsid w:val="614F7413"/>
    <w:rsid w:val="6343794F"/>
    <w:rsid w:val="66C33EDD"/>
    <w:rsid w:val="672E57FA"/>
    <w:rsid w:val="67B101D9"/>
    <w:rsid w:val="67FB7D38"/>
    <w:rsid w:val="6F8A37EA"/>
    <w:rsid w:val="6FAA3E8C"/>
    <w:rsid w:val="722A3947"/>
    <w:rsid w:val="743D3BD3"/>
    <w:rsid w:val="743F1A74"/>
    <w:rsid w:val="78B57B81"/>
    <w:rsid w:val="7ABB6380"/>
    <w:rsid w:val="7CD20B12"/>
    <w:rsid w:val="7EF87EBA"/>
    <w:rsid w:val="7F957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tLeast"/>
      <w:jc w:val="both"/>
    </w:pPr>
    <w:rPr>
      <w:rFonts w:hint="eastAsia" w:ascii="Times New Roman" w:hAnsi="Times New Roman" w:eastAsia="宋体" w:cs="Times New Roman"/>
      <w:kern w:val="2"/>
      <w:sz w:val="21"/>
      <w:szCs w:val="24"/>
      <w:lang w:val="en-US" w:eastAsia="zh-CN" w:bidi="ar-SA"/>
    </w:rPr>
  </w:style>
  <w:style w:type="character" w:default="1" w:styleId="15">
    <w:name w:val="Default Paragraph Font"/>
    <w:autoRedefine/>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eastAsia="宋体" w:cs="Times New Roman"/>
      <w:sz w:val="24"/>
      <w:szCs w:val="20"/>
    </w:rPr>
  </w:style>
  <w:style w:type="paragraph" w:styleId="3">
    <w:name w:val="Body Text"/>
    <w:basedOn w:val="1"/>
    <w:qFormat/>
    <w:uiPriority w:val="0"/>
    <w:rPr>
      <w:rFonts w:ascii="宋体" w:hAnsi="Times New Roman" w:eastAsia="宋体" w:cs="Times New Roman"/>
      <w:sz w:val="32"/>
      <w:szCs w:val="20"/>
    </w:rPr>
  </w:style>
  <w:style w:type="paragraph" w:styleId="4">
    <w:name w:val="Body Text Indent"/>
    <w:basedOn w:val="1"/>
    <w:qFormat/>
    <w:uiPriority w:val="0"/>
    <w:pPr>
      <w:spacing w:after="120"/>
      <w:ind w:left="420" w:leftChars="200"/>
    </w:pPr>
  </w:style>
  <w:style w:type="paragraph" w:styleId="5">
    <w:name w:val="Plain Text"/>
    <w:basedOn w:val="1"/>
    <w:qFormat/>
    <w:uiPriority w:val="0"/>
    <w:pPr>
      <w:adjustRightInd w:val="0"/>
      <w:jc w:val="left"/>
      <w:textAlignment w:val="baseline"/>
    </w:pPr>
    <w:rPr>
      <w:rFonts w:hint="default" w:ascii="宋体" w:hAnsi="Courier New"/>
      <w:sz w:val="24"/>
      <w:szCs w:val="20"/>
    </w:rPr>
  </w:style>
  <w:style w:type="paragraph" w:styleId="6">
    <w:name w:val="Date"/>
    <w:basedOn w:val="1"/>
    <w:next w:val="1"/>
    <w:qFormat/>
    <w:uiPriority w:val="0"/>
    <w:rPr>
      <w:rFonts w:ascii="Times New Roman" w:hAnsi="Times New Roman" w:eastAsia="宋体" w:cs="Times New Roman"/>
      <w:szCs w:val="20"/>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9">
    <w:name w:val="toc 1"/>
    <w:basedOn w:val="1"/>
    <w:next w:val="1"/>
    <w:qFormat/>
    <w:uiPriority w:val="39"/>
    <w:pPr>
      <w:spacing w:before="120" w:after="120"/>
      <w:jc w:val="left"/>
    </w:pPr>
    <w:rPr>
      <w:rFonts w:ascii="Calibri" w:hAnsi="Calibri" w:cs="Calibri"/>
      <w:b/>
      <w:bCs/>
      <w:caps/>
      <w:sz w:val="20"/>
      <w:szCs w:val="20"/>
    </w:rPr>
  </w:style>
  <w:style w:type="paragraph" w:styleId="10">
    <w:name w:val="toc 2"/>
    <w:basedOn w:val="1"/>
    <w:next w:val="1"/>
    <w:qFormat/>
    <w:uiPriority w:val="0"/>
    <w:pPr>
      <w:ind w:left="210"/>
      <w:jc w:val="left"/>
    </w:pPr>
    <w:rPr>
      <w:rFonts w:ascii="Calibri" w:hAnsi="Calibri" w:cs="Calibri"/>
      <w:smallCaps/>
      <w:sz w:val="20"/>
      <w:szCs w:val="20"/>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rPr>
  </w:style>
  <w:style w:type="paragraph" w:styleId="12">
    <w:name w:val="Normal (Web)"/>
    <w:basedOn w:val="1"/>
    <w:unhideWhenUsed/>
    <w:qFormat/>
    <w:uiPriority w:val="99"/>
    <w:pPr>
      <w:spacing w:before="100" w:beforeAutospacing="1" w:after="100" w:afterAutospacing="1"/>
    </w:p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page number"/>
    <w:basedOn w:val="15"/>
    <w:qFormat/>
    <w:uiPriority w:val="0"/>
    <w:rPr>
      <w:rFonts w:ascii="Times New Roman" w:hAnsi="Times New Roman" w:eastAsia="宋体" w:cs="Times New Roman"/>
    </w:rPr>
  </w:style>
  <w:style w:type="character" w:styleId="17">
    <w:name w:val="Hyperlink"/>
    <w:basedOn w:val="15"/>
    <w:qFormat/>
    <w:uiPriority w:val="99"/>
    <w:rPr>
      <w:rFonts w:ascii="Times New Roman" w:hAnsi="Times New Roman" w:eastAsia="宋体" w:cs="Times New Roman"/>
      <w:color w:val="000000"/>
      <w:szCs w:val="21"/>
      <w:u w:val="none"/>
    </w:rPr>
  </w:style>
  <w:style w:type="paragraph" w:customStyle="1" w:styleId="18">
    <w:name w:val=" Char Char Char Char"/>
    <w:basedOn w:val="1"/>
    <w:qFormat/>
    <w:uiPriority w:val="0"/>
    <w:pPr>
      <w:spacing w:line="240" w:lineRule="auto"/>
    </w:pPr>
    <w:rPr>
      <w:rFonts w:hint="default" w:ascii="Times New Roman" w:hAnsi="Times New Roman"/>
      <w:kern w:val="0"/>
      <w:sz w:val="24"/>
      <w:szCs w:val="20"/>
    </w:rPr>
  </w:style>
  <w:style w:type="paragraph" w:customStyle="1" w:styleId="19">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customStyle="1" w:styleId="2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2">
    <w:name w:val="List Paragraph"/>
    <w:basedOn w:val="1"/>
    <w:qFormat/>
    <w:uiPriority w:val="0"/>
    <w:pPr>
      <w:ind w:firstLine="420" w:firstLineChars="200"/>
    </w:pPr>
    <w:rPr>
      <w:rFonts w:ascii="Times New Roman" w:hAnsi="Times New Roman" w:eastAsia="宋体" w:cs="Times New Roman"/>
    </w:rPr>
  </w:style>
  <w:style w:type="paragraph" w:customStyle="1" w:styleId="23">
    <w:name w:val="p0"/>
    <w:basedOn w:val="1"/>
    <w:qFormat/>
    <w:uiPriority w:val="0"/>
    <w:pPr>
      <w:widowControl/>
    </w:pPr>
    <w:rPr>
      <w:rFonts w:ascii="Times New Roman" w:hAnsi="Times New Roman" w:eastAsia="宋体" w:cs="Times New Roman"/>
      <w:kern w:val="0"/>
      <w:szCs w:val="21"/>
    </w:rPr>
  </w:style>
  <w:style w:type="paragraph" w:customStyle="1" w:styleId="24">
    <w:name w:val="正文文本1"/>
    <w:basedOn w:val="1"/>
    <w:qFormat/>
    <w:uiPriority w:val="0"/>
    <w:rPr>
      <w:rFonts w:ascii="宋体"/>
      <w:sz w:val="32"/>
      <w:szCs w:val="20"/>
    </w:rPr>
  </w:style>
  <w:style w:type="paragraph" w:customStyle="1" w:styleId="25">
    <w:name w:val="样式3"/>
    <w:basedOn w:val="5"/>
    <w:qFormat/>
    <w:uiPriority w:val="0"/>
    <w:pPr>
      <w:adjustRightInd/>
      <w:spacing w:line="0" w:lineRule="atLeast"/>
      <w:jc w:val="both"/>
      <w:textAlignment w:val="auto"/>
      <w:outlineLvl w:val="0"/>
    </w:pPr>
    <w:rPr>
      <w:rFonts w:ascii="Times New Roman" w:hAnsi="Times New Roman" w:eastAsia="宋体" w:cs="Times New Roman"/>
      <w:sz w:val="28"/>
    </w:rPr>
  </w:style>
  <w:style w:type="paragraph" w:customStyle="1" w:styleId="26">
    <w:name w:val="xl2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9142</Words>
  <Characters>9764</Characters>
  <Lines>0</Lines>
  <Paragraphs>0</Paragraphs>
  <TotalTime>108</TotalTime>
  <ScaleCrop>false</ScaleCrop>
  <LinksUpToDate>false</LinksUpToDate>
  <CharactersWithSpaces>9837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2024-09-04T06:51:00Z</dcterms:created>
  <dc:creator>正方商务宾馆</dc:creator>
  <cp:lastModifiedBy>作者</cp:lastModifiedBy>
  <dcterms:modified xsi:type="dcterms:W3CDTF">2025-07-17T06:50:30Z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63B0820F55C34914B1C0375CE3C6A08B_13</vt:lpwstr>
  </property>
  <property fmtid="{D5CDD505-2E9C-101B-9397-08002B2CF9AE}" pid="4" name="KSOTemplateDocerSaveRecord">
    <vt:lpwstr>eyJoZGlkIjoiMDEyODlmM2VlZTg0ODI3NjNiNDNmYzE2MjZlODBhZGYiLCJ1c2VySWQiOiI1NDA2MzU1ODYifQ==</vt:lpwstr>
  </property>
</Properties>
</file>