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65041">
      <w:pPr>
        <w:pStyle w:val="5"/>
        <w:bidi w:val="0"/>
        <w:rPr>
          <w:rFonts w:hint="eastAsia"/>
          <w:lang w:val="en-US" w:eastAsia="zh-CN"/>
        </w:rPr>
      </w:pPr>
    </w:p>
    <w:p w14:paraId="5BD9D1D7">
      <w:pPr>
        <w:rPr>
          <w:rFonts w:hint="eastAsia" w:ascii="宋体" w:hAnsi="宋体" w:eastAsia="宋体" w:cs="宋体"/>
          <w:b/>
          <w:bCs/>
          <w:color w:val="auto"/>
          <w:w w:val="90"/>
          <w:kern w:val="16"/>
          <w:sz w:val="44"/>
          <w:szCs w:val="44"/>
          <w:highlight w:val="none"/>
        </w:rPr>
      </w:pPr>
      <w:r>
        <w:rPr>
          <w:rFonts w:hint="eastAsia" w:ascii="宋体" w:hAnsi="宋体" w:eastAsia="宋体" w:cs="宋体"/>
          <w:b/>
          <w:bCs/>
          <w:color w:val="auto"/>
          <w:w w:val="90"/>
          <w:kern w:val="16"/>
          <w:sz w:val="44"/>
          <w:szCs w:val="44"/>
          <w:highlight w:val="none"/>
          <w:lang w:val="en-US" w:eastAsia="zh-CN"/>
        </w:rPr>
        <w:t xml:space="preserve"> </w:t>
      </w:r>
    </w:p>
    <w:p w14:paraId="65AE3496">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color w:val="auto"/>
          <w:sz w:val="52"/>
          <w:szCs w:val="52"/>
          <w:highlight w:val="none"/>
          <w:lang w:eastAsia="zh-CN"/>
        </w:rPr>
      </w:pPr>
      <w:bookmarkStart w:id="0" w:name="_Toc381880843"/>
      <w:r>
        <w:rPr>
          <w:rFonts w:hint="eastAsia" w:ascii="宋体" w:hAnsi="宋体" w:cs="宋体"/>
          <w:b/>
          <w:bCs w:val="0"/>
          <w:color w:val="auto"/>
          <w:sz w:val="56"/>
          <w:szCs w:val="56"/>
          <w:highlight w:val="none"/>
          <w:lang w:eastAsia="zh-CN"/>
        </w:rPr>
        <w:t>邹城市石墙镇江庄村市级和美乡村示范村建设工程</w:t>
      </w:r>
    </w:p>
    <w:bookmarkEnd w:id="0"/>
    <w:p w14:paraId="78D72F7B">
      <w:pPr>
        <w:jc w:val="center"/>
        <w:rPr>
          <w:rFonts w:hint="eastAsia" w:ascii="宋体" w:hAnsi="宋体" w:eastAsia="宋体" w:cs="宋体"/>
          <w:b/>
          <w:bCs w:val="0"/>
          <w:color w:val="auto"/>
          <w:sz w:val="40"/>
          <w:szCs w:val="40"/>
          <w:highlight w:val="none"/>
          <w:lang w:eastAsia="zh-CN"/>
        </w:rPr>
      </w:pPr>
    </w:p>
    <w:p w14:paraId="5348E628">
      <w:pPr>
        <w:pStyle w:val="2"/>
        <w:rPr>
          <w:rFonts w:hint="eastAsia" w:ascii="宋体" w:hAnsi="宋体" w:eastAsia="宋体" w:cs="宋体"/>
          <w:b/>
          <w:bCs w:val="0"/>
          <w:color w:val="auto"/>
          <w:sz w:val="40"/>
          <w:szCs w:val="40"/>
          <w:highlight w:val="none"/>
          <w:lang w:eastAsia="zh-CN"/>
        </w:rPr>
      </w:pPr>
    </w:p>
    <w:p w14:paraId="58F45905">
      <w:pPr>
        <w:rPr>
          <w:rFonts w:hint="eastAsia" w:ascii="宋体" w:hAnsi="宋体" w:eastAsia="宋体" w:cs="宋体"/>
          <w:b/>
          <w:bCs w:val="0"/>
          <w:color w:val="auto"/>
          <w:sz w:val="40"/>
          <w:szCs w:val="40"/>
          <w:highlight w:val="none"/>
          <w:lang w:eastAsia="zh-CN"/>
        </w:rPr>
      </w:pPr>
    </w:p>
    <w:p w14:paraId="69B8BCA1">
      <w:pPr>
        <w:pStyle w:val="2"/>
        <w:rPr>
          <w:rFonts w:hint="eastAsia" w:ascii="宋体" w:hAnsi="宋体" w:eastAsia="宋体" w:cs="宋体"/>
          <w:b/>
          <w:bCs w:val="0"/>
          <w:color w:val="auto"/>
          <w:sz w:val="40"/>
          <w:szCs w:val="40"/>
          <w:highlight w:val="none"/>
          <w:lang w:eastAsia="zh-CN"/>
        </w:rPr>
      </w:pPr>
    </w:p>
    <w:p w14:paraId="65F0A6AC">
      <w:pPr>
        <w:rPr>
          <w:rFonts w:hint="eastAsia" w:ascii="宋体" w:hAnsi="宋体" w:eastAsia="宋体" w:cs="宋体"/>
          <w:color w:val="auto"/>
          <w:sz w:val="13"/>
          <w:szCs w:val="16"/>
          <w:highlight w:val="none"/>
          <w:lang w:eastAsia="zh-CN"/>
        </w:rPr>
      </w:pPr>
    </w:p>
    <w:p w14:paraId="68FEF8E6">
      <w:pPr>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b/>
          <w:bCs w:val="0"/>
          <w:color w:val="auto"/>
          <w:sz w:val="84"/>
          <w:szCs w:val="84"/>
          <w:highlight w:val="none"/>
        </w:rPr>
      </w:pPr>
      <w:r>
        <w:rPr>
          <w:rFonts w:hint="eastAsia" w:ascii="宋体" w:hAnsi="宋体" w:eastAsia="宋体" w:cs="宋体"/>
          <w:b/>
          <w:bCs w:val="0"/>
          <w:color w:val="auto"/>
          <w:sz w:val="84"/>
          <w:szCs w:val="84"/>
          <w:highlight w:val="none"/>
          <w:lang w:eastAsia="zh-CN"/>
        </w:rPr>
        <w:t>竞争性磋商文件</w:t>
      </w:r>
    </w:p>
    <w:p w14:paraId="45E1FF59">
      <w:pPr>
        <w:pStyle w:val="6"/>
        <w:keepNext w:val="0"/>
        <w:keepLines w:val="0"/>
        <w:pageBreakBefore w:val="0"/>
        <w:widowControl w:val="0"/>
        <w:kinsoku/>
        <w:wordWrap/>
        <w:overflowPunct/>
        <w:topLinePunct w:val="0"/>
        <w:autoSpaceDE/>
        <w:autoSpaceDN/>
        <w:bidi w:val="0"/>
        <w:snapToGrid/>
        <w:spacing w:line="360" w:lineRule="auto"/>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28"/>
          <w:szCs w:val="28"/>
          <w:highlight w:val="none"/>
        </w:rPr>
        <w:t>项目编号：</w:t>
      </w:r>
      <w:r>
        <w:rPr>
          <w:rFonts w:hint="eastAsia" w:hAnsi="宋体" w:cs="宋体"/>
          <w:b/>
          <w:color w:val="auto"/>
          <w:sz w:val="28"/>
          <w:szCs w:val="28"/>
          <w:highlight w:val="none"/>
          <w:lang w:val="en-US" w:eastAsia="zh-CN"/>
        </w:rPr>
        <w:t>ZCTW-2025-022</w:t>
      </w:r>
    </w:p>
    <w:p w14:paraId="5B64CCB7">
      <w:pPr>
        <w:pStyle w:val="6"/>
        <w:jc w:val="center"/>
        <w:rPr>
          <w:rFonts w:hint="eastAsia" w:ascii="宋体" w:hAnsi="宋体" w:eastAsia="宋体" w:cs="宋体"/>
          <w:b/>
          <w:color w:val="auto"/>
          <w:sz w:val="28"/>
          <w:szCs w:val="21"/>
          <w:highlight w:val="none"/>
          <w:lang w:val="en-US" w:eastAsia="zh-CN"/>
        </w:rPr>
      </w:pPr>
    </w:p>
    <w:p w14:paraId="4C032802">
      <w:pPr>
        <w:pStyle w:val="6"/>
        <w:jc w:val="center"/>
        <w:rPr>
          <w:rFonts w:hint="eastAsia" w:ascii="宋体" w:hAnsi="宋体" w:eastAsia="宋体" w:cs="宋体"/>
          <w:b/>
          <w:color w:val="auto"/>
          <w:sz w:val="28"/>
          <w:szCs w:val="21"/>
          <w:highlight w:val="none"/>
          <w:lang w:val="en-US" w:eastAsia="zh-CN"/>
        </w:rPr>
      </w:pPr>
    </w:p>
    <w:p w14:paraId="69253757">
      <w:pPr>
        <w:jc w:val="center"/>
        <w:rPr>
          <w:rFonts w:hint="eastAsia" w:ascii="宋体" w:hAnsi="宋体" w:eastAsia="宋体" w:cs="宋体"/>
          <w:b/>
          <w:color w:val="auto"/>
          <w:sz w:val="36"/>
          <w:szCs w:val="36"/>
          <w:highlight w:val="none"/>
        </w:rPr>
      </w:pPr>
    </w:p>
    <w:p w14:paraId="5F7671DC">
      <w:pPr>
        <w:jc w:val="center"/>
        <w:rPr>
          <w:rFonts w:hint="eastAsia" w:ascii="宋体" w:hAnsi="宋体" w:eastAsia="宋体" w:cs="宋体"/>
          <w:b/>
          <w:bCs/>
          <w:color w:val="auto"/>
          <w:kern w:val="16"/>
          <w:sz w:val="36"/>
          <w:szCs w:val="36"/>
          <w:highlight w:val="none"/>
          <w:lang w:eastAsia="zh-CN"/>
        </w:rPr>
      </w:pPr>
    </w:p>
    <w:p w14:paraId="6669A379">
      <w:pPr>
        <w:jc w:val="center"/>
        <w:rPr>
          <w:rFonts w:hint="eastAsia" w:ascii="宋体" w:hAnsi="宋体" w:eastAsia="宋体" w:cs="宋体"/>
          <w:b/>
          <w:bCs/>
          <w:color w:val="auto"/>
          <w:kern w:val="16"/>
          <w:sz w:val="36"/>
          <w:szCs w:val="36"/>
          <w:highlight w:val="none"/>
          <w:lang w:eastAsia="zh-CN"/>
        </w:rPr>
      </w:pPr>
    </w:p>
    <w:p w14:paraId="4755AAC2">
      <w:pPr>
        <w:jc w:val="both"/>
        <w:rPr>
          <w:rFonts w:hint="eastAsia" w:ascii="宋体" w:hAnsi="宋体" w:eastAsia="宋体" w:cs="宋体"/>
          <w:b/>
          <w:bCs/>
          <w:color w:val="auto"/>
          <w:kern w:val="16"/>
          <w:sz w:val="36"/>
          <w:szCs w:val="36"/>
          <w:highlight w:val="none"/>
          <w:lang w:eastAsia="zh-CN"/>
        </w:rPr>
      </w:pPr>
    </w:p>
    <w:p w14:paraId="295C3510">
      <w:pPr>
        <w:pStyle w:val="13"/>
        <w:spacing w:line="640" w:lineRule="exact"/>
        <w:rPr>
          <w:rFonts w:hint="eastAsia" w:ascii="宋体" w:hAnsi="宋体" w:eastAsia="宋体" w:cs="宋体"/>
          <w:b/>
          <w:color w:val="auto"/>
          <w:sz w:val="32"/>
          <w:szCs w:val="32"/>
          <w:highlight w:val="none"/>
        </w:rPr>
      </w:pPr>
    </w:p>
    <w:p w14:paraId="2B2769B5">
      <w:pPr>
        <w:pStyle w:val="13"/>
        <w:spacing w:line="640" w:lineRule="exact"/>
        <w:rPr>
          <w:rFonts w:hint="eastAsia" w:ascii="宋体" w:hAnsi="宋体" w:eastAsia="宋体" w:cs="宋体"/>
          <w:b/>
          <w:color w:val="auto"/>
          <w:sz w:val="32"/>
          <w:szCs w:val="32"/>
          <w:highlight w:val="none"/>
        </w:rPr>
      </w:pPr>
    </w:p>
    <w:p w14:paraId="4287FBB6">
      <w:pPr>
        <w:pStyle w:val="13"/>
        <w:spacing w:line="64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购</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人：</w:t>
      </w:r>
      <w:r>
        <w:rPr>
          <w:rFonts w:hint="eastAsia" w:ascii="宋体" w:hAnsi="宋体" w:eastAsia="宋体" w:cs="宋体"/>
          <w:b/>
          <w:color w:val="auto"/>
          <w:sz w:val="32"/>
          <w:szCs w:val="32"/>
          <w:highlight w:val="none"/>
          <w:lang w:eastAsia="zh-CN"/>
        </w:rPr>
        <w:t>邹城市石墙镇人民政府</w:t>
      </w:r>
    </w:p>
    <w:p w14:paraId="176B2E67">
      <w:pPr>
        <w:pStyle w:val="13"/>
        <w:spacing w:line="6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代理机构：</w:t>
      </w:r>
      <w:r>
        <w:rPr>
          <w:rFonts w:hint="eastAsia" w:ascii="宋体" w:hAnsi="宋体" w:eastAsia="宋体" w:cs="宋体"/>
          <w:b/>
          <w:color w:val="auto"/>
          <w:sz w:val="32"/>
          <w:szCs w:val="32"/>
          <w:highlight w:val="none"/>
          <w:lang w:val="zh-CN" w:eastAsia="zh-CN"/>
        </w:rPr>
        <w:t>邹城天伟工程管理咨询有限公司</w:t>
      </w:r>
    </w:p>
    <w:p w14:paraId="3AFCF33E">
      <w:pPr>
        <w:tabs>
          <w:tab w:val="left" w:pos="1080"/>
        </w:tabs>
        <w:snapToGrid w:val="0"/>
        <w:spacing w:line="640" w:lineRule="exact"/>
        <w:jc w:val="center"/>
        <w:rPr>
          <w:rFonts w:hint="eastAsia" w:ascii="宋体" w:hAnsi="宋体" w:eastAsia="宋体" w:cs="宋体"/>
          <w:bCs/>
          <w:color w:val="auto"/>
          <w:sz w:val="36"/>
          <w:szCs w:val="36"/>
          <w:highlight w:val="none"/>
        </w:rPr>
      </w:pPr>
      <w:r>
        <w:rPr>
          <w:rFonts w:hint="eastAsia" w:ascii="宋体" w:hAnsi="宋体" w:eastAsia="宋体" w:cs="宋体"/>
          <w:b/>
          <w:color w:val="auto"/>
          <w:sz w:val="32"/>
          <w:szCs w:val="32"/>
          <w:highlight w:val="none"/>
        </w:rPr>
        <w:t xml:space="preserve">日  </w:t>
      </w:r>
      <w:r>
        <w:rPr>
          <w:rFonts w:hint="eastAsia" w:ascii="宋体" w:hAnsi="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 xml:space="preserve">  期：二○二</w:t>
      </w:r>
      <w:r>
        <w:rPr>
          <w:rFonts w:hint="eastAsia" w:ascii="宋体" w:hAnsi="宋体" w:cs="宋体"/>
          <w:b/>
          <w:color w:val="auto"/>
          <w:sz w:val="32"/>
          <w:szCs w:val="32"/>
          <w:highlight w:val="none"/>
          <w:lang w:val="en-US" w:eastAsia="zh-CN"/>
        </w:rPr>
        <w:t>五</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十</w:t>
      </w:r>
      <w:r>
        <w:rPr>
          <w:rFonts w:hint="eastAsia" w:ascii="宋体" w:hAnsi="宋体" w:eastAsia="宋体" w:cs="宋体"/>
          <w:b/>
          <w:color w:val="auto"/>
          <w:sz w:val="32"/>
          <w:szCs w:val="32"/>
          <w:highlight w:val="none"/>
        </w:rPr>
        <w:t>月</w:t>
      </w:r>
    </w:p>
    <w:p w14:paraId="692E91FB">
      <w:pPr>
        <w:tabs>
          <w:tab w:val="left" w:pos="1080"/>
        </w:tabs>
        <w:snapToGrid w:val="0"/>
        <w:spacing w:line="360" w:lineRule="auto"/>
        <w:jc w:val="center"/>
        <w:rPr>
          <w:rFonts w:hint="eastAsia" w:ascii="宋体" w:hAnsi="宋体" w:eastAsia="宋体" w:cs="宋体"/>
          <w:bCs/>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pgNumType w:start="0"/>
          <w:cols w:space="720" w:num="1"/>
          <w:titlePg/>
          <w:docGrid w:type="lines" w:linePitch="286" w:charSpace="0"/>
        </w:sectPr>
      </w:pPr>
    </w:p>
    <w:p w14:paraId="3CC05A09">
      <w:pPr>
        <w:tabs>
          <w:tab w:val="left" w:pos="1080"/>
        </w:tabs>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  录</w:t>
      </w:r>
    </w:p>
    <w:p w14:paraId="2ECA1CA4">
      <w:pPr>
        <w:pStyle w:val="9"/>
        <w:tabs>
          <w:tab w:val="right" w:leader="dot" w:pos="963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第一部分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_Toc10775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95AE81">
      <w:pPr>
        <w:pStyle w:val="9"/>
        <w:tabs>
          <w:tab w:val="right" w:leader="dot" w:pos="963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磋商响应方须知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p>
    <w:p w14:paraId="158320E7">
      <w:pPr>
        <w:pStyle w:val="9"/>
        <w:tabs>
          <w:tab w:val="right" w:leader="dot" w:pos="963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第三部分  磋商组织、步骤与评审方法</w:t>
      </w:r>
      <w:bookmarkStart w:id="1" w:name="_Hlt496178532"/>
      <w:bookmarkStart w:id="2" w:name="_Hlt496178559"/>
      <w:r>
        <w:rPr>
          <w:rFonts w:hint="eastAsia" w:ascii="宋体" w:hAnsi="宋体" w:eastAsia="宋体" w:cs="宋体"/>
          <w:color w:val="auto"/>
          <w:sz w:val="24"/>
          <w:szCs w:val="24"/>
          <w:highlight w:val="none"/>
        </w:rPr>
        <w:tab/>
      </w:r>
      <w:bookmarkEnd w:id="1"/>
      <w:bookmarkEnd w:id="2"/>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_Toc31011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975E272">
      <w:pPr>
        <w:pStyle w:val="9"/>
        <w:tabs>
          <w:tab w:val="right" w:leader="dot" w:pos="9638"/>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_Toc22960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采购内</w:t>
      </w:r>
      <w:bookmarkStart w:id="3" w:name="_Hlt496175997"/>
      <w:bookmarkStart w:id="4" w:name="_Hlt496185565"/>
      <w:bookmarkStart w:id="5" w:name="_Hlt496185564"/>
      <w:bookmarkStart w:id="6" w:name="_Hlt496175998"/>
      <w:r>
        <w:rPr>
          <w:rFonts w:hint="eastAsia" w:ascii="宋体" w:hAnsi="宋体" w:eastAsia="宋体" w:cs="宋体"/>
          <w:color w:val="auto"/>
          <w:sz w:val="24"/>
          <w:szCs w:val="24"/>
          <w:highlight w:val="none"/>
        </w:rPr>
        <w:t>容</w:t>
      </w:r>
      <w:bookmarkEnd w:id="3"/>
      <w:bookmarkEnd w:id="4"/>
      <w:bookmarkEnd w:id="5"/>
      <w:bookmarkEnd w:id="6"/>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2</w:t>
      </w:r>
    </w:p>
    <w:p w14:paraId="146B874E">
      <w:pPr>
        <w:pStyle w:val="9"/>
        <w:tabs>
          <w:tab w:val="right" w:leader="dot" w:pos="9638"/>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_Toc24173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合同授予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3</w:t>
      </w:r>
    </w:p>
    <w:p w14:paraId="6ED2311E">
      <w:pPr>
        <w:pStyle w:val="9"/>
        <w:tabs>
          <w:tab w:val="right" w:leader="dot" w:pos="9638"/>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_Toc22583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第六部分  </w:t>
      </w:r>
      <w:r>
        <w:rPr>
          <w:rFonts w:hint="eastAsia" w:ascii="宋体" w:hAnsi="宋体" w:eastAsia="宋体" w:cs="宋体"/>
          <w:color w:val="auto"/>
          <w:sz w:val="24"/>
          <w:szCs w:val="24"/>
          <w:highlight w:val="none"/>
          <w:lang w:val="en-US" w:eastAsia="zh-CN"/>
        </w:rPr>
        <w:t>采购控制价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w:t>
      </w:r>
    </w:p>
    <w:p w14:paraId="7A9D678D">
      <w:pPr>
        <w:pStyle w:val="9"/>
        <w:tabs>
          <w:tab w:val="right" w:leader="dot" w:pos="9638"/>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_Toc22583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部分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2</w:t>
      </w:r>
    </w:p>
    <w:p w14:paraId="3930E6F5">
      <w:pPr>
        <w:pStyle w:val="9"/>
        <w:tabs>
          <w:tab w:val="right" w:leader="dot" w:pos="9638"/>
        </w:tabs>
        <w:rPr>
          <w:rFonts w:hint="eastAsia" w:ascii="宋体" w:hAnsi="宋体" w:eastAsia="宋体" w:cs="宋体"/>
          <w:color w:val="auto"/>
          <w:sz w:val="24"/>
          <w:szCs w:val="24"/>
          <w:highlight w:val="none"/>
          <w:lang w:val="en-US" w:eastAsia="zh-CN"/>
        </w:rPr>
      </w:pPr>
    </w:p>
    <w:p w14:paraId="26CE3AD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14:paraId="32ABD03D">
      <w:pPr>
        <w:spacing w:line="360" w:lineRule="auto"/>
        <w:jc w:val="center"/>
        <w:outlineLvl w:val="0"/>
        <w:rPr>
          <w:rFonts w:hint="eastAsia" w:ascii="宋体" w:hAnsi="宋体" w:eastAsia="宋体" w:cs="宋体"/>
          <w:b/>
          <w:color w:val="auto"/>
          <w:sz w:val="24"/>
          <w:szCs w:val="24"/>
          <w:highlight w:val="none"/>
        </w:rPr>
        <w:sectPr>
          <w:footerReference r:id="rId10" w:type="first"/>
          <w:footerReference r:id="rId9" w:type="default"/>
          <w:pgSz w:w="11906" w:h="16838"/>
          <w:pgMar w:top="1134" w:right="1134" w:bottom="1134" w:left="1134" w:header="851" w:footer="992" w:gutter="0"/>
          <w:pgNumType w:start="1"/>
          <w:cols w:space="720" w:num="1"/>
          <w:docGrid w:type="lines" w:linePitch="286" w:charSpace="0"/>
        </w:sectPr>
      </w:pPr>
      <w:bookmarkStart w:id="7" w:name="_Toc10775"/>
      <w:bookmarkStart w:id="8" w:name="_Toc15040"/>
    </w:p>
    <w:p w14:paraId="059A88D7">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第一部分  竞争性磋商公告</w:t>
      </w:r>
      <w:bookmarkEnd w:id="7"/>
      <w:bookmarkEnd w:id="8"/>
    </w:p>
    <w:p w14:paraId="75CAAB44">
      <w:pPr>
        <w:keepNext w:val="0"/>
        <w:keepLines w:val="0"/>
        <w:pageBreakBefore w:val="0"/>
        <w:widowControl w:val="0"/>
        <w:kinsoku/>
        <w:wordWrap/>
        <w:overflowPunct/>
        <w:topLinePunct w:val="0"/>
        <w:autoSpaceDE/>
        <w:autoSpaceDN/>
        <w:bidi w:val="0"/>
        <w:adjustRightInd/>
        <w:snapToGrid/>
        <w:spacing w:line="72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一、采 购 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邹城市石墙镇人民政府</w:t>
      </w:r>
      <w:r>
        <w:rPr>
          <w:rFonts w:hint="eastAsia" w:ascii="宋体" w:hAnsi="宋体" w:eastAsia="宋体" w:cs="宋体"/>
          <w:color w:val="auto"/>
          <w:sz w:val="24"/>
          <w:szCs w:val="24"/>
          <w:highlight w:val="none"/>
        </w:rPr>
        <w:t xml:space="preserve"> </w:t>
      </w:r>
    </w:p>
    <w:p w14:paraId="4FE3D5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二、项目名称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邹城市石墙镇江庄村市级和美乡村示范村建设工程</w:t>
      </w:r>
    </w:p>
    <w:p w14:paraId="5CF060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rPr>
        <w:t>三、项目编号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ZCTW-2025-022</w:t>
      </w:r>
    </w:p>
    <w:p w14:paraId="40635A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四、采购内容</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邹城市石墙镇江庄村市级和美乡村示范村建设工程</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u w:val="none"/>
          <w:lang w:val="en-US" w:eastAsia="zh-CN"/>
        </w:rPr>
        <w:t>主要包括：</w:t>
      </w:r>
      <w:r>
        <w:rPr>
          <w:rFonts w:hint="eastAsia" w:ascii="宋体" w:hAnsi="宋体" w:cs="宋体"/>
          <w:b w:val="0"/>
          <w:bCs w:val="0"/>
          <w:color w:val="auto"/>
          <w:sz w:val="24"/>
          <w:szCs w:val="24"/>
          <w:highlight w:val="none"/>
          <w:u w:val="none"/>
          <w:lang w:val="en-US" w:eastAsia="zh-CN"/>
        </w:rPr>
        <w:t>护坡砌筑、石砌围栏</w:t>
      </w:r>
      <w:r>
        <w:rPr>
          <w:rFonts w:hint="eastAsia" w:ascii="宋体" w:hAnsi="宋体" w:eastAsia="宋体" w:cs="宋体"/>
          <w:b w:val="0"/>
          <w:bCs w:val="0"/>
          <w:color w:val="auto"/>
          <w:sz w:val="24"/>
          <w:szCs w:val="24"/>
          <w:highlight w:val="none"/>
          <w:u w:val="none"/>
          <w:lang w:val="en-US" w:eastAsia="zh-CN"/>
        </w:rPr>
        <w:t>等工程</w:t>
      </w:r>
      <w:r>
        <w:rPr>
          <w:rFonts w:hint="eastAsia" w:ascii="宋体" w:hAnsi="宋体" w:cs="宋体"/>
          <w:b w:val="0"/>
          <w:bCs w:val="0"/>
          <w:color w:val="auto"/>
          <w:sz w:val="24"/>
          <w:szCs w:val="24"/>
          <w:highlight w:val="none"/>
          <w:u w:val="none"/>
          <w:lang w:val="en-US" w:eastAsia="zh-CN"/>
        </w:rPr>
        <w:t>内容</w:t>
      </w:r>
      <w:r>
        <w:rPr>
          <w:rFonts w:hint="eastAsia" w:ascii="宋体" w:hAnsi="宋体" w:eastAsia="宋体" w:cs="宋体"/>
          <w:b w:val="0"/>
          <w:bCs w:val="0"/>
          <w:color w:val="auto"/>
          <w:sz w:val="24"/>
          <w:szCs w:val="24"/>
          <w:highlight w:val="none"/>
          <w:u w:val="none"/>
          <w:lang w:val="en-US" w:eastAsia="zh-CN"/>
        </w:rPr>
        <w:t>；采购预算（控制价）为</w:t>
      </w:r>
      <w:r>
        <w:rPr>
          <w:rFonts w:hint="eastAsia" w:ascii="宋体" w:hAnsi="宋体" w:cs="宋体"/>
          <w:b w:val="0"/>
          <w:bCs w:val="0"/>
          <w:color w:val="auto"/>
          <w:sz w:val="24"/>
          <w:szCs w:val="24"/>
          <w:highlight w:val="none"/>
          <w:u w:val="none"/>
          <w:lang w:val="en-US" w:eastAsia="zh-CN"/>
        </w:rPr>
        <w:t>458357.00</w:t>
      </w:r>
      <w:r>
        <w:rPr>
          <w:rFonts w:hint="eastAsia" w:ascii="宋体" w:hAnsi="宋体" w:eastAsia="宋体" w:cs="宋体"/>
          <w:b w:val="0"/>
          <w:bCs w:val="0"/>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，具体内容详见采购预算(控制价)。</w:t>
      </w:r>
    </w:p>
    <w:p w14:paraId="2EE042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五、供应商资格要求</w:t>
      </w:r>
      <w:r>
        <w:rPr>
          <w:rFonts w:hint="eastAsia" w:ascii="宋体" w:hAnsi="宋体" w:eastAsia="宋体" w:cs="宋体"/>
          <w:color w:val="auto"/>
          <w:sz w:val="24"/>
          <w:szCs w:val="24"/>
          <w:highlight w:val="none"/>
        </w:rPr>
        <w:t>：</w:t>
      </w:r>
    </w:p>
    <w:p w14:paraId="5FE7CFF1">
      <w:pPr>
        <w:keepNext w:val="0"/>
        <w:keepLines w:val="0"/>
        <w:pageBreakBefore w:val="0"/>
        <w:widowControl/>
        <w:shd w:val="clear" w:color="auto" w:fill="FFFFFF"/>
        <w:kinsoku/>
        <w:wordWrap/>
        <w:overflowPunct/>
        <w:topLinePunct w:val="0"/>
        <w:autoSpaceDE/>
        <w:autoSpaceDN/>
        <w:bidi w:val="0"/>
        <w:adjustRightInd/>
        <w:snapToGrid/>
        <w:spacing w:before="159" w:beforeLines="50" w:beforeAutospacing="0" w:line="408"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1、具备《政府采购法》第二十二条规定的条件。</w:t>
      </w:r>
    </w:p>
    <w:p w14:paraId="62617D63">
      <w:pPr>
        <w:keepNext w:val="0"/>
        <w:keepLines w:val="0"/>
        <w:pageBreakBefore w:val="0"/>
        <w:widowControl/>
        <w:shd w:val="clear" w:color="auto" w:fill="FFFFFF"/>
        <w:kinsoku/>
        <w:wordWrap/>
        <w:overflowPunct/>
        <w:topLinePunct w:val="0"/>
        <w:autoSpaceDE/>
        <w:autoSpaceDN/>
        <w:bidi w:val="0"/>
        <w:adjustRightInd/>
        <w:snapToGrid/>
        <w:spacing w:before="159" w:beforeLines="50" w:beforeAutospacing="0" w:line="408"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要求供应商须具备</w:t>
      </w:r>
      <w:r>
        <w:rPr>
          <w:rFonts w:hint="eastAsia" w:ascii="宋体" w:hAnsi="宋体" w:cs="宋体"/>
          <w:b/>
          <w:bCs/>
          <w:color w:val="auto"/>
          <w:kern w:val="0"/>
          <w:sz w:val="24"/>
          <w:szCs w:val="24"/>
          <w:highlight w:val="none"/>
          <w:u w:val="single"/>
          <w:lang w:eastAsia="zh-CN"/>
        </w:rPr>
        <w:t>建筑工程</w:t>
      </w:r>
      <w:r>
        <w:rPr>
          <w:rFonts w:hint="eastAsia" w:ascii="宋体" w:hAnsi="宋体" w:eastAsia="宋体" w:cs="宋体"/>
          <w:b/>
          <w:bCs/>
          <w:color w:val="auto"/>
          <w:kern w:val="0"/>
          <w:sz w:val="24"/>
          <w:szCs w:val="24"/>
          <w:highlight w:val="none"/>
          <w:u w:val="single"/>
          <w:lang w:eastAsia="zh-CN"/>
        </w:rPr>
        <w:t>施工总承包叁级及以上</w:t>
      </w:r>
      <w:r>
        <w:rPr>
          <w:rFonts w:hint="eastAsia" w:ascii="宋体" w:hAnsi="宋体" w:cs="宋体"/>
          <w:b/>
          <w:bCs/>
          <w:color w:val="auto"/>
          <w:kern w:val="0"/>
          <w:sz w:val="24"/>
          <w:szCs w:val="24"/>
          <w:highlight w:val="none"/>
          <w:u w:val="single"/>
          <w:lang w:val="en-US" w:eastAsia="zh-CN"/>
        </w:rPr>
        <w:t>或</w:t>
      </w:r>
      <w:r>
        <w:rPr>
          <w:rFonts w:hint="eastAsia" w:ascii="宋体" w:hAnsi="宋体" w:eastAsia="宋体" w:cs="宋体"/>
          <w:b/>
          <w:bCs/>
          <w:color w:val="auto"/>
          <w:kern w:val="0"/>
          <w:sz w:val="24"/>
          <w:szCs w:val="24"/>
          <w:highlight w:val="none"/>
          <w:u w:val="single"/>
          <w:lang w:eastAsia="zh-CN"/>
        </w:rPr>
        <w:t>市政公用工程施工总承包叁级及以上资质</w:t>
      </w:r>
      <w:r>
        <w:rPr>
          <w:rFonts w:hint="eastAsia" w:ascii="宋体" w:hAnsi="宋体" w:eastAsia="宋体" w:cs="宋体"/>
          <w:color w:val="auto"/>
          <w:kern w:val="0"/>
          <w:sz w:val="24"/>
          <w:szCs w:val="24"/>
          <w:highlight w:val="none"/>
        </w:rPr>
        <w:t>，并在人员、设备、资金等方面具有相应的施工能力，无拖欠农民工工资的不良行为。其中，</w:t>
      </w:r>
      <w:r>
        <w:rPr>
          <w:rFonts w:hint="eastAsia" w:ascii="宋体" w:hAnsi="宋体" w:eastAsia="宋体" w:cs="宋体"/>
          <w:b/>
          <w:bCs/>
          <w:color w:val="auto"/>
          <w:kern w:val="0"/>
          <w:sz w:val="24"/>
          <w:szCs w:val="24"/>
          <w:highlight w:val="none"/>
          <w:u w:val="single"/>
        </w:rPr>
        <w:t>供应商拟派项目经理须具备</w:t>
      </w:r>
      <w:r>
        <w:rPr>
          <w:rFonts w:hint="eastAsia" w:ascii="宋体" w:hAnsi="宋体" w:cs="宋体"/>
          <w:b/>
          <w:bCs/>
          <w:color w:val="auto"/>
          <w:kern w:val="0"/>
          <w:sz w:val="24"/>
          <w:szCs w:val="24"/>
          <w:highlight w:val="none"/>
          <w:u w:val="single"/>
          <w:lang w:eastAsia="zh-CN"/>
        </w:rPr>
        <w:t>建筑工程</w:t>
      </w:r>
      <w:r>
        <w:rPr>
          <w:rFonts w:hint="eastAsia" w:ascii="宋体" w:hAnsi="宋体" w:eastAsia="宋体" w:cs="宋体"/>
          <w:b/>
          <w:bCs/>
          <w:color w:val="auto"/>
          <w:kern w:val="0"/>
          <w:sz w:val="24"/>
          <w:szCs w:val="24"/>
          <w:highlight w:val="none"/>
          <w:u w:val="single"/>
          <w:lang w:eastAsia="zh-CN"/>
        </w:rPr>
        <w:t>专业贰级</w:t>
      </w:r>
      <w:r>
        <w:rPr>
          <w:rFonts w:hint="eastAsia" w:ascii="宋体" w:hAnsi="宋体" w:eastAsia="宋体" w:cs="宋体"/>
          <w:b/>
          <w:bCs/>
          <w:color w:val="auto"/>
          <w:kern w:val="0"/>
          <w:sz w:val="24"/>
          <w:szCs w:val="24"/>
          <w:highlight w:val="none"/>
          <w:u w:val="single"/>
        </w:rPr>
        <w:t>及以上</w:t>
      </w:r>
      <w:r>
        <w:rPr>
          <w:rFonts w:hint="eastAsia" w:ascii="宋体" w:hAnsi="宋体" w:cs="宋体"/>
          <w:b/>
          <w:bCs/>
          <w:color w:val="auto"/>
          <w:kern w:val="0"/>
          <w:sz w:val="24"/>
          <w:szCs w:val="24"/>
          <w:highlight w:val="none"/>
          <w:u w:val="single"/>
          <w:lang w:val="en-US" w:eastAsia="zh-CN"/>
        </w:rPr>
        <w:t>或市政公用工程专业贰级</w:t>
      </w:r>
      <w:r>
        <w:rPr>
          <w:rFonts w:hint="eastAsia" w:ascii="宋体" w:hAnsi="宋体" w:eastAsia="宋体" w:cs="宋体"/>
          <w:b/>
          <w:bCs/>
          <w:color w:val="auto"/>
          <w:kern w:val="0"/>
          <w:sz w:val="24"/>
          <w:szCs w:val="24"/>
          <w:highlight w:val="none"/>
          <w:u w:val="single"/>
        </w:rPr>
        <w:t>及以上注册建造师执业资格</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具备有效的安全生产考核合格证书，且未担任其他在施建设工程项目的项目经理。</w:t>
      </w:r>
    </w:p>
    <w:p w14:paraId="6B1565F8">
      <w:pPr>
        <w:keepNext w:val="0"/>
        <w:keepLines w:val="0"/>
        <w:pageBreakBefore w:val="0"/>
        <w:widowControl/>
        <w:shd w:val="clear" w:color="auto" w:fill="FFFFFF"/>
        <w:kinsoku/>
        <w:wordWrap/>
        <w:overflowPunct/>
        <w:topLinePunct w:val="0"/>
        <w:autoSpaceDE/>
        <w:autoSpaceDN/>
        <w:bidi w:val="0"/>
        <w:adjustRightInd/>
        <w:snapToGrid/>
        <w:spacing w:line="408" w:lineRule="auto"/>
        <w:ind w:firstLine="480" w:firstLineChars="200"/>
        <w:jc w:val="left"/>
        <w:textAlignment w:val="auto"/>
        <w:rPr>
          <w:rFonts w:hint="eastAsia" w:ascii="宋体" w:hAnsi="宋体" w:eastAsia="宋体" w:cs="宋体"/>
          <w:b/>
          <w:bCs/>
          <w:color w:val="auto"/>
          <w:sz w:val="24"/>
          <w:szCs w:val="24"/>
          <w:highlight w:val="none"/>
          <w:u w:val="single"/>
        </w:rPr>
      </w:pPr>
      <w:r>
        <w:rPr>
          <w:rFonts w:hint="eastAsia" w:ascii="宋体" w:hAnsi="宋体" w:eastAsia="宋体" w:cs="宋体"/>
          <w:color w:val="auto"/>
          <w:kern w:val="0"/>
          <w:sz w:val="24"/>
          <w:szCs w:val="24"/>
          <w:highlight w:val="none"/>
        </w:rPr>
        <w:t>3、供应商在递交响应文件时需同时提供</w:t>
      </w:r>
      <w:r>
        <w:rPr>
          <w:rFonts w:hint="eastAsia" w:ascii="宋体" w:hAnsi="宋体" w:eastAsia="宋体" w:cs="宋体"/>
          <w:b w:val="0"/>
          <w:bCs w:val="0"/>
          <w:color w:val="auto"/>
          <w:kern w:val="0"/>
          <w:sz w:val="24"/>
          <w:szCs w:val="24"/>
          <w:highlight w:val="none"/>
          <w:u w:val="single"/>
        </w:rPr>
        <w:t>本单位营业执照（副本原件）、资质证书（原件或加盖公章复印件）、安全生产许可证（副本原件）、项目经理的建造师注册证原件及项目经理的安全生产考核合格证书原件、法人授权委托书原件、法定代表人（或授权委托人）有效身份证原件</w:t>
      </w:r>
      <w:r>
        <w:rPr>
          <w:rFonts w:hint="eastAsia" w:ascii="宋体" w:hAnsi="宋体" w:eastAsia="宋体" w:cs="宋体"/>
          <w:b w:val="0"/>
          <w:bCs w:val="0"/>
          <w:color w:val="auto"/>
          <w:kern w:val="0"/>
          <w:sz w:val="24"/>
          <w:szCs w:val="24"/>
          <w:highlight w:val="none"/>
          <w:u w:val="single"/>
          <w:lang w:val="en-US" w:eastAsia="zh-CN"/>
        </w:rPr>
        <w:t>以及评审办法中需要提供的验证资料</w:t>
      </w:r>
      <w:r>
        <w:rPr>
          <w:rFonts w:hint="eastAsia" w:ascii="宋体" w:hAnsi="宋体" w:eastAsia="宋体" w:cs="宋体"/>
          <w:b w:val="0"/>
          <w:bCs w:val="0"/>
          <w:color w:val="auto"/>
          <w:kern w:val="0"/>
          <w:sz w:val="24"/>
          <w:szCs w:val="24"/>
          <w:highlight w:val="none"/>
          <w:u w:val="single"/>
        </w:rPr>
        <w:t>。</w:t>
      </w:r>
      <w:r>
        <w:rPr>
          <w:rFonts w:hint="eastAsia" w:ascii="宋体" w:hAnsi="宋体" w:eastAsia="宋体" w:cs="宋体"/>
          <w:b/>
          <w:bCs/>
          <w:color w:val="auto"/>
          <w:sz w:val="24"/>
          <w:szCs w:val="24"/>
          <w:highlight w:val="none"/>
          <w:u w:val="single"/>
        </w:rPr>
        <w:t>供应商在磋商时未按上述要求提供证明材料的，磋商小组根据竞争性磋商文件规定否决其磋商响应文件，</w:t>
      </w:r>
      <w:r>
        <w:rPr>
          <w:rFonts w:hint="eastAsia" w:ascii="宋体" w:hAnsi="宋体" w:eastAsia="宋体" w:cs="宋体"/>
          <w:b/>
          <w:bCs/>
          <w:color w:val="auto"/>
          <w:sz w:val="24"/>
          <w:szCs w:val="24"/>
          <w:highlight w:val="none"/>
          <w:u w:val="single"/>
          <w:lang w:val="en-US" w:eastAsia="zh-CN"/>
        </w:rPr>
        <w:t>涉及评审办法的，将不予计分</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以上证件中如果具有电子证书</w:t>
      </w:r>
      <w:r>
        <w:rPr>
          <w:rFonts w:hint="eastAsia" w:ascii="宋体" w:hAnsi="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均可提供原件或加盖单位公章的电子证书</w:t>
      </w:r>
      <w:r>
        <w:rPr>
          <w:rFonts w:hint="eastAsia" w:ascii="宋体" w:hAnsi="宋体" w:cs="宋体"/>
          <w:b/>
          <w:bCs/>
          <w:color w:val="auto"/>
          <w:sz w:val="24"/>
          <w:szCs w:val="24"/>
          <w:highlight w:val="none"/>
          <w:u w:val="single"/>
          <w:lang w:val="en-US" w:eastAsia="zh-CN"/>
        </w:rPr>
        <w:t>彩色</w:t>
      </w:r>
      <w:r>
        <w:rPr>
          <w:rFonts w:hint="eastAsia" w:ascii="宋体" w:hAnsi="宋体" w:eastAsia="宋体" w:cs="宋体"/>
          <w:b/>
          <w:bCs/>
          <w:color w:val="auto"/>
          <w:sz w:val="24"/>
          <w:szCs w:val="24"/>
          <w:highlight w:val="none"/>
          <w:u w:val="single"/>
        </w:rPr>
        <w:t>打印件(打印件上注明查询网址)。</w:t>
      </w:r>
    </w:p>
    <w:p w14:paraId="09A6BE3E">
      <w:pPr>
        <w:keepNext w:val="0"/>
        <w:keepLines w:val="0"/>
        <w:pageBreakBefore w:val="0"/>
        <w:widowControl/>
        <w:shd w:val="clear" w:color="auto" w:fill="FFFFFF"/>
        <w:kinsoku/>
        <w:wordWrap/>
        <w:overflowPunct/>
        <w:topLinePunct w:val="0"/>
        <w:autoSpaceDE/>
        <w:autoSpaceDN/>
        <w:bidi w:val="0"/>
        <w:adjustRightInd/>
        <w:snapToGrid/>
        <w:spacing w:line="408"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4、因建设工地扬尘污染暂扣安全生产许可证的施工单位，不得参与本招标项目的投标;因拖欠农民工工资，计入济宁市诚信黑榜，被限制济宁市内建设工程投标资格的施工单位，不得参与本项目的磋商。</w:t>
      </w:r>
    </w:p>
    <w:p w14:paraId="59B4E2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5、本次竞争性磋商不接受联合体。</w:t>
      </w:r>
    </w:p>
    <w:p w14:paraId="2F0E108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六、磋商文件的获取</w:t>
      </w:r>
      <w:r>
        <w:rPr>
          <w:rFonts w:hint="eastAsia" w:ascii="宋体" w:hAnsi="宋体" w:eastAsia="宋体" w:cs="宋体"/>
          <w:color w:val="auto"/>
          <w:sz w:val="24"/>
          <w:szCs w:val="24"/>
          <w:highlight w:val="none"/>
        </w:rPr>
        <w:t>：</w:t>
      </w:r>
    </w:p>
    <w:p w14:paraId="6F2749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1、磋商文件的获取时间：</w:t>
      </w:r>
      <w:r>
        <w:rPr>
          <w:rFonts w:hint="eastAsia" w:ascii="宋体" w:hAnsi="宋体" w:cs="宋体"/>
          <w:color w:val="auto"/>
          <w:sz w:val="24"/>
          <w:szCs w:val="24"/>
          <w:highlight w:val="none"/>
          <w:u w:val="single"/>
          <w:lang w:eastAsia="zh-CN"/>
        </w:rPr>
        <w:t>2025</w:t>
      </w:r>
      <w:r>
        <w:rPr>
          <w:rFonts w:hint="eastAsia" w:ascii="宋体" w:hAnsi="宋体" w:eastAsia="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日-</w:t>
      </w:r>
      <w:r>
        <w:rPr>
          <w:rFonts w:hint="eastAsia" w:ascii="宋体" w:hAnsi="宋体" w:cs="宋体"/>
          <w:color w:val="auto"/>
          <w:sz w:val="24"/>
          <w:szCs w:val="24"/>
          <w:highlight w:val="none"/>
          <w:u w:val="single"/>
          <w:lang w:eastAsia="zh-CN"/>
        </w:rPr>
        <w:t>2025</w:t>
      </w:r>
      <w:r>
        <w:rPr>
          <w:rFonts w:hint="eastAsia" w:ascii="宋体" w:hAnsi="宋体" w:eastAsia="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21</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rPr>
        <w:t>；</w:t>
      </w:r>
    </w:p>
    <w:p w14:paraId="5B9C93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磋商文件获取方式：网上下载；磋商响应方不必办理报名手续，登录邹城市外宣网(http://www.mencius.gov.cn/)-投资邹城-乡村零星采购直接点击公告下方附件下载竞争性磋商文件。</w:t>
      </w:r>
    </w:p>
    <w:p w14:paraId="667E2A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七、磋商响应文件的递交</w:t>
      </w:r>
      <w:r>
        <w:rPr>
          <w:rFonts w:hint="eastAsia" w:ascii="宋体" w:hAnsi="宋体" w:eastAsia="宋体" w:cs="宋体"/>
          <w:color w:val="auto"/>
          <w:sz w:val="24"/>
          <w:szCs w:val="24"/>
          <w:highlight w:val="none"/>
        </w:rPr>
        <w:t>：</w:t>
      </w:r>
    </w:p>
    <w:p w14:paraId="49A34E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邹城市石墙镇人民政府</w:t>
      </w:r>
      <w:r>
        <w:rPr>
          <w:rFonts w:hint="eastAsia" w:ascii="宋体" w:hAnsi="宋体" w:eastAsia="宋体" w:cs="宋体"/>
          <w:color w:val="auto"/>
          <w:sz w:val="24"/>
          <w:szCs w:val="24"/>
          <w:highlight w:val="none"/>
        </w:rPr>
        <w:t>于</w:t>
      </w:r>
      <w:r>
        <w:rPr>
          <w:rFonts w:hint="eastAsia" w:ascii="宋体" w:hAnsi="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u w:val="single"/>
          <w:lang w:val="en-US" w:eastAsia="zh-CN"/>
        </w:rPr>
        <w:t>年</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lang w:val="en-US" w:eastAsia="zh-CN"/>
        </w:rPr>
        <w:t>月</w:t>
      </w:r>
      <w:r>
        <w:rPr>
          <w:rFonts w:hint="eastAsia" w:ascii="宋体" w:hAnsi="宋体" w:cs="宋体"/>
          <w:b/>
          <w:bCs/>
          <w:color w:val="auto"/>
          <w:sz w:val="24"/>
          <w:szCs w:val="24"/>
          <w:highlight w:val="none"/>
          <w:u w:val="single"/>
          <w:lang w:val="en-US" w:eastAsia="zh-CN"/>
        </w:rPr>
        <w:t>21</w:t>
      </w:r>
      <w:r>
        <w:rPr>
          <w:rFonts w:hint="eastAsia" w:ascii="宋体" w:hAnsi="宋体" w:eastAsia="宋体" w:cs="宋体"/>
          <w:b/>
          <w:bCs/>
          <w:color w:val="auto"/>
          <w:sz w:val="24"/>
          <w:szCs w:val="24"/>
          <w:highlight w:val="none"/>
          <w:u w:val="single"/>
          <w:lang w:val="en-US" w:eastAsia="zh-CN"/>
        </w:rPr>
        <w:t xml:space="preserve">日 </w:t>
      </w:r>
      <w:r>
        <w:rPr>
          <w:rFonts w:hint="eastAsia" w:ascii="宋体" w:hAnsi="宋体" w:cs="宋体"/>
          <w:b/>
          <w:bCs/>
          <w:color w:val="auto"/>
          <w:sz w:val="24"/>
          <w:szCs w:val="24"/>
          <w:highlight w:val="none"/>
          <w:u w:val="single"/>
          <w:lang w:val="en-US" w:eastAsia="zh-CN"/>
        </w:rPr>
        <w:t>09</w:t>
      </w:r>
      <w:r>
        <w:rPr>
          <w:rFonts w:hint="eastAsia" w:ascii="宋体" w:hAnsi="宋体" w:eastAsia="宋体" w:cs="宋体"/>
          <w:b/>
          <w:bCs/>
          <w:color w:val="auto"/>
          <w:sz w:val="24"/>
          <w:szCs w:val="24"/>
          <w:highlight w:val="none"/>
          <w:u w:val="single"/>
          <w:lang w:val="en-US" w:eastAsia="zh-CN"/>
        </w:rPr>
        <w:t xml:space="preserve"> 时 </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lang w:val="en-US" w:eastAsia="zh-CN"/>
        </w:rPr>
        <w:t>0 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磋商开始前在</w:t>
      </w:r>
      <w:r>
        <w:rPr>
          <w:rFonts w:hint="eastAsia" w:ascii="宋体" w:hAnsi="宋体" w:eastAsia="宋体" w:cs="宋体"/>
          <w:color w:val="auto"/>
          <w:sz w:val="24"/>
          <w:szCs w:val="24"/>
          <w:highlight w:val="none"/>
          <w:lang w:eastAsia="zh-CN"/>
        </w:rPr>
        <w:t>邹城市石墙镇公共资源交易中心开标室</w:t>
      </w:r>
      <w:r>
        <w:rPr>
          <w:rFonts w:hint="eastAsia" w:ascii="宋体" w:hAnsi="宋体" w:eastAsia="宋体" w:cs="宋体"/>
          <w:color w:val="auto"/>
          <w:sz w:val="24"/>
          <w:szCs w:val="24"/>
          <w:highlight w:val="none"/>
        </w:rPr>
        <w:t>受理供应商磋商响应文件的递交；</w:t>
      </w:r>
    </w:p>
    <w:p w14:paraId="3F1CF6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2、逾期送达或未送达指定地点的磋商响应文件，</w:t>
      </w:r>
      <w:r>
        <w:rPr>
          <w:rFonts w:hint="eastAsia" w:ascii="宋体" w:hAnsi="宋体" w:eastAsia="宋体" w:cs="宋体"/>
          <w:color w:val="auto"/>
          <w:sz w:val="24"/>
          <w:szCs w:val="24"/>
          <w:highlight w:val="none"/>
          <w:lang w:val="en-US" w:eastAsia="zh-CN"/>
        </w:rPr>
        <w:t>以及不按照竞争性磋商文件要求密封的响应文件，</w:t>
      </w:r>
      <w:r>
        <w:rPr>
          <w:rFonts w:hint="eastAsia" w:ascii="宋体" w:hAnsi="宋体" w:eastAsia="宋体" w:cs="宋体"/>
          <w:color w:val="auto"/>
          <w:sz w:val="24"/>
          <w:szCs w:val="24"/>
          <w:highlight w:val="none"/>
        </w:rPr>
        <w:t>采购人不予受理。</w:t>
      </w:r>
    </w:p>
    <w:p w14:paraId="62FE49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八、磋商时间与地点</w:t>
      </w:r>
      <w:r>
        <w:rPr>
          <w:rFonts w:hint="eastAsia" w:ascii="宋体" w:hAnsi="宋体" w:eastAsia="宋体" w:cs="宋体"/>
          <w:b/>
          <w:bCs/>
          <w:color w:val="auto"/>
          <w:sz w:val="24"/>
          <w:szCs w:val="24"/>
          <w:highlight w:val="none"/>
          <w:lang w:eastAsia="zh-CN"/>
        </w:rPr>
        <w:t>：</w:t>
      </w:r>
    </w:p>
    <w:p w14:paraId="0B9BC9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lang w:val="en-US" w:eastAsia="zh-CN"/>
        </w:rPr>
        <w:t>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月</w:t>
      </w:r>
      <w:r>
        <w:rPr>
          <w:rFonts w:hint="eastAsia" w:ascii="宋体" w:hAnsi="宋体" w:cs="宋体"/>
          <w:color w:val="auto"/>
          <w:sz w:val="24"/>
          <w:szCs w:val="24"/>
          <w:highlight w:val="none"/>
          <w:u w:val="single"/>
          <w:lang w:val="en-US" w:eastAsia="zh-CN"/>
        </w:rPr>
        <w:t>21</w:t>
      </w:r>
      <w:r>
        <w:rPr>
          <w:rFonts w:hint="eastAsia" w:ascii="宋体" w:hAnsi="宋体" w:eastAsia="宋体" w:cs="宋体"/>
          <w:color w:val="auto"/>
          <w:sz w:val="24"/>
          <w:szCs w:val="24"/>
          <w:highlight w:val="none"/>
          <w:u w:val="single"/>
          <w:lang w:val="en-US" w:eastAsia="zh-CN"/>
        </w:rPr>
        <w:t xml:space="preserve">日 </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lang w:val="en-US" w:eastAsia="zh-CN"/>
        </w:rPr>
        <w:t xml:space="preserve"> 时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0 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color w:val="auto"/>
          <w:sz w:val="24"/>
          <w:szCs w:val="24"/>
          <w:highlight w:val="none"/>
          <w:lang w:eastAsia="zh-CN"/>
        </w:rPr>
        <w:t>）</w:t>
      </w:r>
    </w:p>
    <w:p w14:paraId="001BCE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lang w:eastAsia="zh-CN"/>
        </w:rPr>
        <w:t>邹城市石墙镇公共资源交易中心开标室</w:t>
      </w:r>
    </w:p>
    <w:p w14:paraId="11C348C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九、联系方式</w:t>
      </w:r>
      <w:r>
        <w:rPr>
          <w:rFonts w:hint="eastAsia" w:ascii="宋体" w:hAnsi="宋体" w:eastAsia="宋体" w:cs="宋体"/>
          <w:color w:val="auto"/>
          <w:sz w:val="24"/>
          <w:szCs w:val="24"/>
          <w:highlight w:val="none"/>
        </w:rPr>
        <w:t>：</w:t>
      </w:r>
    </w:p>
    <w:p w14:paraId="4E254B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 购 人：</w:t>
      </w:r>
      <w:r>
        <w:rPr>
          <w:rFonts w:hint="eastAsia" w:ascii="宋体" w:hAnsi="宋体" w:eastAsia="宋体" w:cs="宋体"/>
          <w:color w:val="auto"/>
          <w:sz w:val="24"/>
          <w:szCs w:val="24"/>
          <w:highlight w:val="none"/>
          <w:u w:val="single"/>
          <w:lang w:eastAsia="zh-CN"/>
        </w:rPr>
        <w:t>邹城市石墙镇人民政府</w:t>
      </w:r>
    </w:p>
    <w:p w14:paraId="4524AA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eastAsia="zh-CN"/>
        </w:rPr>
        <w:t>邹城市石墙镇</w:t>
      </w:r>
    </w:p>
    <w:p w14:paraId="057E48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eastAsia="zh-CN"/>
        </w:rPr>
        <w:t>郑主任</w:t>
      </w:r>
    </w:p>
    <w:p w14:paraId="36DE4D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13792391130</w:t>
      </w:r>
    </w:p>
    <w:p w14:paraId="6F18C9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u w:val="single"/>
          <w:lang w:eastAsia="zh-CN"/>
        </w:rPr>
        <w:t>邹城天伟工程管理咨询有限公司</w:t>
      </w:r>
    </w:p>
    <w:p w14:paraId="5B79C8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    址：</w:t>
      </w:r>
      <w:r>
        <w:rPr>
          <w:rFonts w:hint="eastAsia" w:ascii="宋体" w:hAnsi="宋体" w:eastAsia="宋体" w:cs="宋体"/>
          <w:color w:val="auto"/>
          <w:sz w:val="24"/>
          <w:szCs w:val="24"/>
          <w:highlight w:val="none"/>
          <w:u w:val="single"/>
          <w:lang w:val="en-US" w:eastAsia="zh-CN"/>
        </w:rPr>
        <w:t>邹城市万德广场1号楼</w:t>
      </w:r>
    </w:p>
    <w:p w14:paraId="75CDAB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 系 人：</w:t>
      </w:r>
      <w:r>
        <w:rPr>
          <w:rFonts w:hint="eastAsia" w:ascii="宋体" w:hAnsi="宋体" w:eastAsia="宋体" w:cs="宋体"/>
          <w:color w:val="auto"/>
          <w:sz w:val="24"/>
          <w:szCs w:val="24"/>
          <w:highlight w:val="none"/>
          <w:u w:val="single"/>
          <w:lang w:eastAsia="zh-CN"/>
        </w:rPr>
        <w:t>孙福鹏</w:t>
      </w:r>
      <w:r>
        <w:rPr>
          <w:rFonts w:hint="eastAsia" w:ascii="宋体" w:hAnsi="宋体" w:eastAsia="宋体" w:cs="宋体"/>
          <w:color w:val="auto"/>
          <w:sz w:val="24"/>
          <w:szCs w:val="24"/>
          <w:highlight w:val="none"/>
          <w:lang w:eastAsia="zh-CN"/>
        </w:rPr>
        <w:t xml:space="preserve"> </w:t>
      </w:r>
    </w:p>
    <w:p w14:paraId="1F4B87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联系电话：</w:t>
      </w:r>
      <w:r>
        <w:rPr>
          <w:rFonts w:hint="eastAsia" w:ascii="宋体" w:hAnsi="宋体" w:cs="宋体"/>
          <w:color w:val="auto"/>
          <w:sz w:val="24"/>
          <w:szCs w:val="24"/>
          <w:highlight w:val="none"/>
          <w:u w:val="single"/>
          <w:lang w:val="en-US" w:eastAsia="zh-CN"/>
        </w:rPr>
        <w:t>18053766615</w:t>
      </w:r>
    </w:p>
    <w:p w14:paraId="3A98F9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电子邮箱：</w:t>
      </w:r>
      <w:r>
        <w:rPr>
          <w:rFonts w:hint="eastAsia" w:ascii="宋体" w:hAnsi="宋体" w:eastAsia="宋体" w:cs="宋体"/>
          <w:color w:val="auto"/>
          <w:sz w:val="24"/>
          <w:szCs w:val="24"/>
          <w:highlight w:val="none"/>
          <w:u w:val="single"/>
          <w:lang w:eastAsia="zh-CN"/>
        </w:rPr>
        <w:t>zcntgczx@163.com</w:t>
      </w:r>
    </w:p>
    <w:p w14:paraId="20CF98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十、</w:t>
      </w:r>
      <w:r>
        <w:rPr>
          <w:rFonts w:hint="eastAsia" w:ascii="宋体" w:hAnsi="宋体" w:eastAsia="宋体" w:cs="宋体"/>
          <w:b/>
          <w:bCs/>
          <w:color w:val="auto"/>
          <w:sz w:val="24"/>
          <w:szCs w:val="24"/>
          <w:highlight w:val="none"/>
        </w:rPr>
        <w:t>重要说明</w:t>
      </w:r>
      <w:r>
        <w:rPr>
          <w:rFonts w:hint="eastAsia" w:ascii="宋体" w:hAnsi="宋体" w:eastAsia="宋体" w:cs="宋体"/>
          <w:color w:val="auto"/>
          <w:sz w:val="24"/>
          <w:szCs w:val="24"/>
          <w:highlight w:val="none"/>
        </w:rPr>
        <w:t xml:space="preserve"> </w:t>
      </w:r>
    </w:p>
    <w:p w14:paraId="15040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1、施工期间的安全问题、地方关系或个体关系由施工单位自行解决。</w:t>
      </w:r>
    </w:p>
    <w:p w14:paraId="67312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2、竞争性磋商文件等相关资料一经在</w:t>
      </w:r>
      <w:r>
        <w:rPr>
          <w:rFonts w:hint="eastAsia" w:ascii="宋体" w:hAnsi="宋体" w:eastAsia="宋体" w:cs="宋体"/>
          <w:color w:val="auto"/>
          <w:sz w:val="24"/>
          <w:szCs w:val="24"/>
          <w:highlight w:val="none"/>
          <w:lang w:eastAsia="zh-CN"/>
        </w:rPr>
        <w:t>邹城市外宣网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http://www.mencius.gov.cn</w:t>
      </w:r>
      <w:r>
        <w:rPr>
          <w:rFonts w:hint="eastAsia" w:ascii="宋体" w:hAnsi="宋体" w:eastAsia="宋体" w:cs="宋体"/>
          <w:color w:val="auto"/>
          <w:sz w:val="24"/>
          <w:szCs w:val="24"/>
          <w:highlight w:val="none"/>
        </w:rPr>
        <w:t>）发布，视作已发放给所有潜在供应商（发布时间即为发出磋商文件的时间），各供应商应随时关注</w:t>
      </w:r>
      <w:r>
        <w:rPr>
          <w:rFonts w:hint="eastAsia" w:ascii="宋体" w:hAnsi="宋体" w:eastAsia="宋体" w:cs="宋体"/>
          <w:color w:val="auto"/>
          <w:sz w:val="24"/>
          <w:szCs w:val="24"/>
          <w:highlight w:val="none"/>
          <w:lang w:eastAsia="zh-CN"/>
        </w:rPr>
        <w:t>邹城市外宣网</w:t>
      </w:r>
      <w:r>
        <w:rPr>
          <w:rFonts w:hint="eastAsia" w:ascii="宋体" w:hAnsi="宋体" w:eastAsia="宋体" w:cs="宋体"/>
          <w:color w:val="auto"/>
          <w:sz w:val="24"/>
          <w:szCs w:val="24"/>
          <w:highlight w:val="none"/>
        </w:rPr>
        <w:t>下载电子版磋商文件，否则所造成的一切后果由供应商自负。</w:t>
      </w:r>
    </w:p>
    <w:p w14:paraId="354619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3、本项目如有必要澄清和修改需要发布变更公告的，将在本网站及时发布。请各潜在供应商及时关注相关信息。同时，依据相关法律法规规定，变更公告一旦发布即视为以书面形式通知所有潜在供应商。</w:t>
      </w:r>
    </w:p>
    <w:p w14:paraId="6B5F3F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邹城市石墙镇人民政府</w:t>
      </w:r>
    </w:p>
    <w:p w14:paraId="696D40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邹城天伟工程管理咨询有限公司</w:t>
      </w:r>
    </w:p>
    <w:p w14:paraId="66EB77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发布时间：</w:t>
      </w:r>
      <w:r>
        <w:rPr>
          <w:rFonts w:hint="eastAsia" w:ascii="宋体" w:hAnsi="宋体" w:cs="宋体"/>
          <w:color w:val="auto"/>
          <w:sz w:val="24"/>
          <w:szCs w:val="24"/>
          <w:highlight w:val="none"/>
          <w:lang w:eastAsia="zh-CN"/>
        </w:rPr>
        <w:t>2025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日</w:t>
      </w:r>
    </w:p>
    <w:p w14:paraId="1913A54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0"/>
        <w:rPr>
          <w:rFonts w:hint="eastAsia" w:ascii="宋体" w:hAnsi="宋体" w:eastAsia="宋体" w:cs="宋体"/>
          <w:color w:val="auto"/>
          <w:sz w:val="32"/>
          <w:szCs w:val="32"/>
          <w:highlight w:val="none"/>
        </w:rPr>
      </w:pPr>
    </w:p>
    <w:p w14:paraId="61DBE1F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32"/>
          <w:szCs w:val="32"/>
          <w:highlight w:val="none"/>
        </w:rPr>
        <w:br w:type="page"/>
      </w:r>
      <w:bookmarkStart w:id="9" w:name="_Toc18613"/>
      <w:r>
        <w:rPr>
          <w:rFonts w:hint="eastAsia" w:ascii="宋体" w:hAnsi="宋体" w:eastAsia="宋体" w:cs="宋体"/>
          <w:b/>
          <w:color w:val="auto"/>
          <w:sz w:val="32"/>
          <w:szCs w:val="32"/>
          <w:highlight w:val="none"/>
        </w:rPr>
        <w:t>第二部分  磋商响应方须知</w:t>
      </w:r>
      <w:bookmarkEnd w:id="9"/>
    </w:p>
    <w:p w14:paraId="4AFCB748">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right="0" w:righ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一、适用范围：</w:t>
      </w:r>
    </w:p>
    <w:p w14:paraId="6AAE0E8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本磋商文件仅适用于本次竞争性磋商的政府采购项目。</w:t>
      </w:r>
    </w:p>
    <w:p w14:paraId="089A593D">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right="0" w:righ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二、定义：</w:t>
      </w:r>
    </w:p>
    <w:p w14:paraId="212BC3D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1、“采购人”系指：</w:t>
      </w:r>
      <w:r>
        <w:rPr>
          <w:rFonts w:hint="eastAsia" w:ascii="宋体" w:hAnsi="宋体" w:eastAsia="宋体" w:cs="宋体"/>
          <w:b w:val="0"/>
          <w:bCs/>
          <w:color w:val="auto"/>
          <w:szCs w:val="21"/>
          <w:highlight w:val="none"/>
          <w:lang w:eastAsia="zh-CN"/>
        </w:rPr>
        <w:t>邹城市石墙镇人民政府</w:t>
      </w:r>
      <w:r>
        <w:rPr>
          <w:rFonts w:hint="eastAsia" w:ascii="宋体" w:hAnsi="宋体" w:eastAsia="宋体" w:cs="宋体"/>
          <w:b w:val="0"/>
          <w:bCs/>
          <w:color w:val="auto"/>
          <w:szCs w:val="21"/>
          <w:highlight w:val="none"/>
        </w:rPr>
        <w:t>；</w:t>
      </w:r>
    </w:p>
    <w:p w14:paraId="2FFE0BD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2、“代理机构”系指：</w:t>
      </w:r>
      <w:r>
        <w:rPr>
          <w:rFonts w:hint="eastAsia" w:ascii="宋体" w:hAnsi="宋体" w:eastAsia="宋体" w:cs="宋体"/>
          <w:b w:val="0"/>
          <w:bCs/>
          <w:color w:val="auto"/>
          <w:szCs w:val="21"/>
          <w:highlight w:val="none"/>
          <w:lang w:eastAsia="zh-CN"/>
        </w:rPr>
        <w:t>邹城天伟工程管理咨询有限公司</w:t>
      </w:r>
      <w:r>
        <w:rPr>
          <w:rFonts w:hint="eastAsia" w:ascii="宋体" w:hAnsi="宋体" w:eastAsia="宋体" w:cs="宋体"/>
          <w:b w:val="0"/>
          <w:bCs/>
          <w:color w:val="auto"/>
          <w:szCs w:val="21"/>
          <w:highlight w:val="none"/>
        </w:rPr>
        <w:t>；</w:t>
      </w:r>
    </w:p>
    <w:p w14:paraId="0347092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3、“响应供应商”系指参与磋商并向采购人提交磋商响应文件的单位；</w:t>
      </w:r>
    </w:p>
    <w:p w14:paraId="46802406">
      <w:pPr>
        <w:keepNext w:val="0"/>
        <w:keepLines w:val="0"/>
        <w:pageBreakBefore w:val="0"/>
        <w:widowControl w:val="0"/>
        <w:kinsoku/>
        <w:wordWrap w:val="0"/>
        <w:overflowPunct/>
        <w:topLinePunct/>
        <w:autoSpaceDE/>
        <w:autoSpaceDN/>
        <w:bidi w:val="0"/>
        <w:adjustRightInd w:val="0"/>
        <w:snapToGrid w:val="0"/>
        <w:spacing w:beforeAutospacing="0" w:afterAutospacing="0" w:line="240" w:lineRule="auto"/>
        <w:ind w:right="0" w:rightChars="0"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4、“成交供应商”系指经法定程序确定并授予合同的响应供应商。</w:t>
      </w:r>
    </w:p>
    <w:p w14:paraId="5F8CBFE9">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240" w:lineRule="auto"/>
        <w:ind w:right="0" w:righ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三、供应商应具备的条件：</w:t>
      </w:r>
    </w:p>
    <w:p w14:paraId="64C0C538">
      <w:pPr>
        <w:keepNext w:val="0"/>
        <w:keepLines w:val="0"/>
        <w:pageBreakBefore w:val="0"/>
        <w:widowControl/>
        <w:shd w:val="clear" w:color="auto" w:fill="FFFFFF"/>
        <w:kinsoku/>
        <w:wordWrap/>
        <w:overflowPunct/>
        <w:topLinePunct w:val="0"/>
        <w:autoSpaceDE/>
        <w:autoSpaceDN/>
        <w:bidi w:val="0"/>
        <w:adjustRightInd/>
        <w:snapToGrid/>
        <w:spacing w:before="159" w:beforeLines="50" w:beforeAutospacing="0"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1、具备《政府采购法》第二十二条规定的条件。</w:t>
      </w:r>
    </w:p>
    <w:p w14:paraId="362BAA17">
      <w:pPr>
        <w:pStyle w:val="2"/>
        <w:spacing w:line="240" w:lineRule="auto"/>
        <w:ind w:firstLine="420" w:firstLineChars="200"/>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（一）具有独立承担民事责任的能力；</w:t>
      </w:r>
    </w:p>
    <w:p w14:paraId="658F4C81">
      <w:pPr>
        <w:pStyle w:val="2"/>
        <w:ind w:firstLine="420"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（二）具有良好的商业信誉和健全的财务会计制度；</w:t>
      </w:r>
    </w:p>
    <w:p w14:paraId="6CEE8111">
      <w:pPr>
        <w:pStyle w:val="2"/>
        <w:ind w:firstLine="420"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（三）具有履行合同所必需的货物和专业技术能力；</w:t>
      </w:r>
    </w:p>
    <w:p w14:paraId="2AD2E37A">
      <w:pPr>
        <w:pStyle w:val="2"/>
        <w:ind w:firstLine="420"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（四）有依法缴纳税收和社会保障资金的良好记录；</w:t>
      </w:r>
    </w:p>
    <w:p w14:paraId="03280BF3">
      <w:pPr>
        <w:pStyle w:val="2"/>
        <w:ind w:firstLine="420"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（五）参加政府采购活动前三年内，在经营活动中没有重大违法记录；</w:t>
      </w:r>
    </w:p>
    <w:p w14:paraId="20325B4D">
      <w:pPr>
        <w:pStyle w:val="2"/>
        <w:ind w:firstLine="420"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（六）法律、行政法规规定的其他条件。</w:t>
      </w:r>
    </w:p>
    <w:p w14:paraId="4072A8D3">
      <w:pPr>
        <w:keepNext w:val="0"/>
        <w:keepLines w:val="0"/>
        <w:pageBreakBefore w:val="0"/>
        <w:widowControl/>
        <w:shd w:val="clear" w:color="auto" w:fill="FFFFFF"/>
        <w:kinsoku/>
        <w:wordWrap/>
        <w:overflowPunct/>
        <w:topLinePunct w:val="0"/>
        <w:autoSpaceDE/>
        <w:autoSpaceDN/>
        <w:bidi w:val="0"/>
        <w:adjustRightInd/>
        <w:snapToGrid/>
        <w:spacing w:before="159" w:beforeLines="50" w:beforeAutospacing="0" w:line="408"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2、本次</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要求供应商须具备</w:t>
      </w:r>
      <w:r>
        <w:rPr>
          <w:rFonts w:hint="eastAsia" w:ascii="宋体" w:hAnsi="宋体" w:eastAsia="宋体" w:cs="宋体"/>
          <w:b/>
          <w:bCs/>
          <w:color w:val="auto"/>
          <w:kern w:val="0"/>
          <w:sz w:val="21"/>
          <w:szCs w:val="21"/>
          <w:highlight w:val="none"/>
          <w:u w:val="single"/>
          <w:lang w:eastAsia="zh-CN"/>
        </w:rPr>
        <w:t>建筑工程施工总承包叁级及以上</w:t>
      </w:r>
      <w:r>
        <w:rPr>
          <w:rFonts w:hint="eastAsia" w:ascii="宋体" w:hAnsi="宋体" w:eastAsia="宋体" w:cs="宋体"/>
          <w:b/>
          <w:bCs/>
          <w:color w:val="auto"/>
          <w:kern w:val="0"/>
          <w:sz w:val="21"/>
          <w:szCs w:val="21"/>
          <w:highlight w:val="none"/>
          <w:u w:val="single"/>
          <w:lang w:val="en-US" w:eastAsia="zh-CN"/>
        </w:rPr>
        <w:t>或</w:t>
      </w:r>
      <w:r>
        <w:rPr>
          <w:rFonts w:hint="eastAsia" w:ascii="宋体" w:hAnsi="宋体" w:eastAsia="宋体" w:cs="宋体"/>
          <w:b/>
          <w:bCs/>
          <w:color w:val="auto"/>
          <w:kern w:val="0"/>
          <w:sz w:val="21"/>
          <w:szCs w:val="21"/>
          <w:highlight w:val="none"/>
          <w:u w:val="single"/>
          <w:lang w:eastAsia="zh-CN"/>
        </w:rPr>
        <w:t>市政公用工程施工总承包叁级及以上资质</w:t>
      </w:r>
      <w:r>
        <w:rPr>
          <w:rFonts w:hint="eastAsia" w:ascii="宋体" w:hAnsi="宋体" w:eastAsia="宋体" w:cs="宋体"/>
          <w:color w:val="auto"/>
          <w:kern w:val="0"/>
          <w:sz w:val="21"/>
          <w:szCs w:val="21"/>
          <w:highlight w:val="none"/>
        </w:rPr>
        <w:t>，并在人员、设备、资金等方面具有相应的施工能力，无拖欠农民工工资的不良行为。其中，供应商拟派项目经理须具备</w:t>
      </w:r>
      <w:r>
        <w:rPr>
          <w:rFonts w:hint="eastAsia" w:ascii="宋体" w:hAnsi="宋体" w:eastAsia="宋体" w:cs="宋体"/>
          <w:b/>
          <w:bCs/>
          <w:color w:val="auto"/>
          <w:kern w:val="0"/>
          <w:sz w:val="21"/>
          <w:szCs w:val="21"/>
          <w:highlight w:val="none"/>
          <w:u w:val="single"/>
          <w:lang w:eastAsia="zh-CN"/>
        </w:rPr>
        <w:t>建筑工程专业贰级</w:t>
      </w:r>
      <w:r>
        <w:rPr>
          <w:rFonts w:hint="eastAsia" w:ascii="宋体" w:hAnsi="宋体" w:eastAsia="宋体" w:cs="宋体"/>
          <w:b/>
          <w:bCs/>
          <w:color w:val="auto"/>
          <w:kern w:val="0"/>
          <w:sz w:val="21"/>
          <w:szCs w:val="21"/>
          <w:highlight w:val="none"/>
          <w:u w:val="single"/>
        </w:rPr>
        <w:t>及以上</w:t>
      </w:r>
      <w:r>
        <w:rPr>
          <w:rFonts w:hint="eastAsia" w:ascii="宋体" w:hAnsi="宋体" w:eastAsia="宋体" w:cs="宋体"/>
          <w:b/>
          <w:bCs/>
          <w:color w:val="auto"/>
          <w:kern w:val="0"/>
          <w:sz w:val="21"/>
          <w:szCs w:val="21"/>
          <w:highlight w:val="none"/>
          <w:u w:val="single"/>
          <w:lang w:val="en-US" w:eastAsia="zh-CN"/>
        </w:rPr>
        <w:t>或市政公用工程专业贰级</w:t>
      </w:r>
      <w:r>
        <w:rPr>
          <w:rFonts w:hint="eastAsia" w:ascii="宋体" w:hAnsi="宋体" w:eastAsia="宋体" w:cs="宋体"/>
          <w:b/>
          <w:bCs/>
          <w:color w:val="auto"/>
          <w:kern w:val="0"/>
          <w:sz w:val="21"/>
          <w:szCs w:val="21"/>
          <w:highlight w:val="none"/>
          <w:u w:val="single"/>
        </w:rPr>
        <w:t>及以上注册建造师执业资格</w:t>
      </w:r>
      <w:r>
        <w:rPr>
          <w:rFonts w:hint="eastAsia" w:ascii="宋体" w:hAnsi="宋体" w:eastAsia="宋体" w:cs="宋体"/>
          <w:b/>
          <w:bCs/>
          <w:color w:val="auto"/>
          <w:kern w:val="0"/>
          <w:sz w:val="21"/>
          <w:szCs w:val="21"/>
          <w:highlight w:val="none"/>
          <w:u w:val="single"/>
          <w:lang w:eastAsia="zh-CN"/>
        </w:rPr>
        <w:t>，</w:t>
      </w:r>
      <w:r>
        <w:rPr>
          <w:rFonts w:hint="eastAsia" w:ascii="宋体" w:hAnsi="宋体" w:eastAsia="宋体" w:cs="宋体"/>
          <w:color w:val="auto"/>
          <w:kern w:val="0"/>
          <w:sz w:val="21"/>
          <w:szCs w:val="21"/>
          <w:highlight w:val="none"/>
        </w:rPr>
        <w:t>具备有效的安全生产考核合格证书，且未担任其他在施建设工程项目的项目经理。</w:t>
      </w:r>
    </w:p>
    <w:p w14:paraId="29480D89">
      <w:pPr>
        <w:keepNext w:val="0"/>
        <w:keepLines w:val="0"/>
        <w:pageBreakBefore w:val="0"/>
        <w:widowControl/>
        <w:shd w:val="clear" w:color="auto" w:fill="FFFFFF"/>
        <w:kinsoku/>
        <w:wordWrap/>
        <w:overflowPunct/>
        <w:topLinePunct w:val="0"/>
        <w:autoSpaceDE/>
        <w:autoSpaceDN/>
        <w:bidi w:val="0"/>
        <w:adjustRightInd/>
        <w:snapToGrid/>
        <w:spacing w:line="408" w:lineRule="auto"/>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3、供应商在递交响应文件时需同时提供</w:t>
      </w:r>
      <w:r>
        <w:rPr>
          <w:rFonts w:hint="eastAsia" w:ascii="宋体" w:hAnsi="宋体" w:eastAsia="宋体" w:cs="宋体"/>
          <w:b/>
          <w:bCs/>
          <w:color w:val="auto"/>
          <w:kern w:val="0"/>
          <w:sz w:val="21"/>
          <w:szCs w:val="21"/>
          <w:highlight w:val="none"/>
        </w:rPr>
        <w:t>本单位营业执照（副本原件）、资质证书（原件或加盖公章复印件）、安全生产许可证（副本原件）、项目经理的建造师注册证原件及项目经理的安全生产考核合格证书原件、法人授权委托书原件、法定代表人（或授权委托人）有效身份证原件</w:t>
      </w:r>
      <w:r>
        <w:rPr>
          <w:rFonts w:hint="eastAsia" w:ascii="宋体" w:hAnsi="宋体" w:eastAsia="宋体" w:cs="宋体"/>
          <w:b/>
          <w:bCs/>
          <w:color w:val="auto"/>
          <w:kern w:val="0"/>
          <w:sz w:val="21"/>
          <w:szCs w:val="21"/>
          <w:highlight w:val="none"/>
          <w:lang w:val="en-US" w:eastAsia="zh-CN"/>
        </w:rPr>
        <w:t>以及评审办法中需要提供的验证资料</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sz w:val="21"/>
          <w:szCs w:val="21"/>
          <w:highlight w:val="none"/>
        </w:rPr>
        <w:t>供应商在磋商时未按上述要求提供证明材料的，磋商小组根据竞争性磋商文件规定否决其磋商响应文件，</w:t>
      </w:r>
      <w:r>
        <w:rPr>
          <w:rFonts w:hint="eastAsia" w:ascii="宋体" w:hAnsi="宋体" w:eastAsia="宋体" w:cs="宋体"/>
          <w:b/>
          <w:bCs/>
          <w:color w:val="auto"/>
          <w:sz w:val="21"/>
          <w:szCs w:val="21"/>
          <w:highlight w:val="none"/>
          <w:lang w:val="en-US" w:eastAsia="zh-CN"/>
        </w:rPr>
        <w:t>涉及评审办法的，将不予计分</w:t>
      </w:r>
      <w:r>
        <w:rPr>
          <w:rFonts w:hint="eastAsia" w:ascii="宋体" w:hAnsi="宋体" w:eastAsia="宋体" w:cs="宋体"/>
          <w:b/>
          <w:bCs/>
          <w:color w:val="auto"/>
          <w:sz w:val="21"/>
          <w:szCs w:val="21"/>
          <w:highlight w:val="none"/>
        </w:rPr>
        <w:t>。</w:t>
      </w:r>
    </w:p>
    <w:p w14:paraId="6CE28111">
      <w:pPr>
        <w:keepNext w:val="0"/>
        <w:keepLines w:val="0"/>
        <w:pageBreakBefore w:val="0"/>
        <w:widowControl/>
        <w:shd w:val="clear" w:color="auto" w:fill="FFFFFF"/>
        <w:kinsoku/>
        <w:wordWrap/>
        <w:overflowPunct/>
        <w:topLinePunct w:val="0"/>
        <w:autoSpaceDE/>
        <w:autoSpaceDN/>
        <w:bidi w:val="0"/>
        <w:adjustRightInd/>
        <w:snapToGrid/>
        <w:spacing w:line="408"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4、因建设工地扬尘污染暂扣安全生产许可证的施工单位，不得参与本招标项目的投标;因拖欠农民工工资，计入济宁市诚信黑榜，被限制济宁市内建设工程投标资格的施工单位，不得参与本项目的磋商。</w:t>
      </w:r>
    </w:p>
    <w:p w14:paraId="65AB2FB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5、本次竞争性磋商不接受联合体</w:t>
      </w:r>
      <w:r>
        <w:rPr>
          <w:rFonts w:hint="eastAsia" w:ascii="宋体" w:hAnsi="宋体" w:eastAsia="宋体" w:cs="宋体"/>
          <w:color w:val="auto"/>
          <w:kern w:val="0"/>
          <w:sz w:val="24"/>
          <w:szCs w:val="24"/>
          <w:highlight w:val="none"/>
        </w:rPr>
        <w:t>。</w:t>
      </w:r>
    </w:p>
    <w:p w14:paraId="698242B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四、竞争性磋商文件：</w:t>
      </w:r>
    </w:p>
    <w:p w14:paraId="16F6E61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本竞争性磋商文件由以下内容组成：</w:t>
      </w:r>
    </w:p>
    <w:p w14:paraId="32BA4AE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1、竞争性磋商</w:t>
      </w:r>
      <w:r>
        <w:rPr>
          <w:rFonts w:hint="eastAsia" w:ascii="宋体" w:hAnsi="宋体" w:eastAsia="宋体" w:cs="宋体"/>
          <w:b w:val="0"/>
          <w:bCs/>
          <w:color w:val="auto"/>
          <w:szCs w:val="21"/>
          <w:highlight w:val="none"/>
          <w:lang w:eastAsia="zh-CN"/>
        </w:rPr>
        <w:t>公告</w:t>
      </w:r>
      <w:r>
        <w:rPr>
          <w:rFonts w:hint="eastAsia" w:ascii="宋体" w:hAnsi="宋体" w:eastAsia="宋体" w:cs="宋体"/>
          <w:b w:val="0"/>
          <w:bCs/>
          <w:color w:val="auto"/>
          <w:szCs w:val="21"/>
          <w:highlight w:val="none"/>
        </w:rPr>
        <w:t>；</w:t>
      </w:r>
    </w:p>
    <w:p w14:paraId="126784B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2、磋商响应方须知；</w:t>
      </w:r>
    </w:p>
    <w:p w14:paraId="352959D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3、磋商组织、步骤与评审方法；</w:t>
      </w:r>
    </w:p>
    <w:p w14:paraId="71F12FE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4、采购内容及要求；</w:t>
      </w:r>
    </w:p>
    <w:p w14:paraId="50B4DA0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5、合同授予；</w:t>
      </w:r>
    </w:p>
    <w:p w14:paraId="116C897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6、</w:t>
      </w:r>
      <w:r>
        <w:rPr>
          <w:rFonts w:hint="eastAsia" w:ascii="宋体" w:hAnsi="宋体" w:eastAsia="宋体" w:cs="宋体"/>
          <w:b w:val="0"/>
          <w:bCs/>
          <w:color w:val="auto"/>
          <w:szCs w:val="21"/>
          <w:highlight w:val="none"/>
          <w:lang w:val="en-US" w:eastAsia="zh-CN"/>
        </w:rPr>
        <w:t>采购控制价；</w:t>
      </w:r>
    </w:p>
    <w:p w14:paraId="7059B94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rPr>
        <w:t>响应文件格式。</w:t>
      </w:r>
    </w:p>
    <w:p w14:paraId="38B2D59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五、磋商文件的质疑、澄清或修改：</w:t>
      </w:r>
    </w:p>
    <w:p w14:paraId="17A8FDF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1、各潜在供应商对磋商文件内容如有疑问，必须于磋商开始前五个</w:t>
      </w:r>
      <w:r>
        <w:rPr>
          <w:rFonts w:hint="eastAsia" w:ascii="宋体" w:hAnsi="宋体" w:eastAsia="宋体" w:cs="宋体"/>
          <w:b w:val="0"/>
          <w:bCs/>
          <w:color w:val="auto"/>
          <w:szCs w:val="21"/>
          <w:highlight w:val="none"/>
          <w:lang w:eastAsia="zh-CN"/>
        </w:rPr>
        <w:t>日历天</w:t>
      </w:r>
      <w:r>
        <w:rPr>
          <w:rFonts w:hint="eastAsia" w:ascii="宋体" w:hAnsi="宋体" w:eastAsia="宋体" w:cs="宋体"/>
          <w:b w:val="0"/>
          <w:bCs/>
          <w:color w:val="auto"/>
          <w:szCs w:val="21"/>
          <w:highlight w:val="none"/>
        </w:rPr>
        <w:t>将疑问以书面形式送至采购人或电子邮件形式发至</w:t>
      </w:r>
      <w:r>
        <w:rPr>
          <w:rFonts w:hint="eastAsia" w:ascii="宋体" w:hAnsi="宋体" w:eastAsia="宋体" w:cs="宋体"/>
          <w:b w:val="0"/>
          <w:bCs/>
          <w:color w:val="auto"/>
          <w:szCs w:val="21"/>
          <w:highlight w:val="none"/>
          <w:lang w:eastAsia="zh-CN"/>
        </w:rPr>
        <w:t>zcntgczx@163.com</w:t>
      </w:r>
      <w:r>
        <w:rPr>
          <w:rFonts w:hint="eastAsia" w:ascii="宋体" w:hAnsi="宋体" w:eastAsia="宋体" w:cs="宋体"/>
          <w:b w:val="0"/>
          <w:bCs/>
          <w:color w:val="auto"/>
          <w:szCs w:val="21"/>
          <w:highlight w:val="none"/>
        </w:rPr>
        <w:t>；</w:t>
      </w:r>
    </w:p>
    <w:p w14:paraId="1D9F67B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2、采购人对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文件必要的澄清或修改的内容将在提交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文件截止时间前，会以书面形式通知各供应商，澄清和修改的内容将构成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文件的组成部分。</w:t>
      </w:r>
    </w:p>
    <w:p w14:paraId="0F81358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六、磋商响应文件的编写及递交：</w:t>
      </w:r>
    </w:p>
    <w:p w14:paraId="41529D0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供应商应按磋商文件的要求准备磋商响应文件，并保证所提供全部资料的真实性、准确性及完整性，并对磋商文件做出实质性响应。</w:t>
      </w:r>
    </w:p>
    <w:p w14:paraId="33E2BDD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（一）磋商响应文件的组成：</w:t>
      </w:r>
    </w:p>
    <w:p w14:paraId="311EEA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一、磋商响应函</w:t>
      </w:r>
    </w:p>
    <w:p w14:paraId="070DF02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二、法定代表人身份证明及法定代表人授权委托书</w:t>
      </w:r>
    </w:p>
    <w:p w14:paraId="08429BB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三、初次报价表</w:t>
      </w:r>
    </w:p>
    <w:p w14:paraId="050BAA0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四、技术标施工组织设计</w:t>
      </w:r>
    </w:p>
    <w:p w14:paraId="347D5A3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五、项目管理机构</w:t>
      </w:r>
    </w:p>
    <w:p w14:paraId="257C080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六、供应商资信资料</w:t>
      </w:r>
    </w:p>
    <w:p w14:paraId="2949ED3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七、</w:t>
      </w:r>
      <w:r>
        <w:rPr>
          <w:rFonts w:hint="eastAsia" w:ascii="宋体" w:hAnsi="宋体" w:eastAsia="宋体" w:cs="宋体"/>
          <w:b w:val="0"/>
          <w:bCs/>
          <w:color w:val="auto"/>
          <w:szCs w:val="21"/>
          <w:highlight w:val="none"/>
          <w:lang w:val="en-US" w:eastAsia="zh-CN"/>
        </w:rPr>
        <w:t>资格审查资料</w:t>
      </w:r>
    </w:p>
    <w:p w14:paraId="73D113C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八、建设工程扬尘治理工作承诺书</w:t>
      </w:r>
    </w:p>
    <w:p w14:paraId="5C701DB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九、其他资料</w:t>
      </w:r>
    </w:p>
    <w:p w14:paraId="7244CC1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（二）磋商响应文件的密封和标记：</w:t>
      </w:r>
    </w:p>
    <w:p w14:paraId="67B696D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1、磋商响应文件需加盖磋商响应方公章并采用胶装的方式装订成册；</w:t>
      </w:r>
    </w:p>
    <w:p w14:paraId="256AA7B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2、供应商应准备磋商响应文件五份，一份正本和四份副本。在每一份磋商响应文件上要明确注明“正本”或“副本”字样，一旦正本和副本有差异，以正本为准；</w:t>
      </w:r>
    </w:p>
    <w:p w14:paraId="5418D3A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3、响应供应商应将磋商响应文件密封，并在封口处加盖磋商响应方</w:t>
      </w:r>
      <w:bookmarkStart w:id="89" w:name="_GoBack"/>
      <w:bookmarkEnd w:id="89"/>
      <w:r>
        <w:rPr>
          <w:rFonts w:hint="eastAsia" w:ascii="宋体" w:hAnsi="宋体" w:eastAsia="宋体" w:cs="宋体"/>
          <w:b w:val="0"/>
          <w:bCs/>
          <w:color w:val="auto"/>
          <w:szCs w:val="21"/>
          <w:highlight w:val="none"/>
          <w:lang w:eastAsia="zh-CN"/>
        </w:rPr>
        <w:t>公章，未按本条要求密封的磋商响应文件将有权被拒绝接收。</w:t>
      </w:r>
    </w:p>
    <w:p w14:paraId="615A062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（三）磋商响应文件的递交：</w:t>
      </w:r>
    </w:p>
    <w:p w14:paraId="2BDBA37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1、磋商响应文件应于</w:t>
      </w:r>
      <w:r>
        <w:rPr>
          <w:rFonts w:hint="eastAsia" w:ascii="宋体" w:hAnsi="宋体" w:cs="宋体"/>
          <w:b w:val="0"/>
          <w:bCs/>
          <w:color w:val="auto"/>
          <w:szCs w:val="21"/>
          <w:highlight w:val="none"/>
          <w:lang w:eastAsia="zh-CN"/>
        </w:rPr>
        <w:t>2025</w:t>
      </w:r>
      <w:r>
        <w:rPr>
          <w:rFonts w:hint="eastAsia" w:ascii="宋体" w:hAnsi="宋体" w:eastAsia="宋体" w:cs="宋体"/>
          <w:b w:val="0"/>
          <w:bCs/>
          <w:color w:val="auto"/>
          <w:szCs w:val="21"/>
          <w:highlight w:val="none"/>
          <w:lang w:eastAsia="zh-CN"/>
        </w:rPr>
        <w:t>年</w:t>
      </w:r>
      <w:r>
        <w:rPr>
          <w:rFonts w:hint="eastAsia" w:ascii="宋体" w:hAnsi="宋体" w:cs="宋体"/>
          <w:b w:val="0"/>
          <w:bCs/>
          <w:color w:val="auto"/>
          <w:szCs w:val="21"/>
          <w:highlight w:val="none"/>
          <w:lang w:val="en-US" w:eastAsia="zh-CN"/>
        </w:rPr>
        <w:t>10</w:t>
      </w:r>
      <w:r>
        <w:rPr>
          <w:rFonts w:hint="eastAsia" w:ascii="宋体" w:hAnsi="宋体" w:eastAsia="宋体" w:cs="宋体"/>
          <w:b w:val="0"/>
          <w:bCs/>
          <w:color w:val="auto"/>
          <w:szCs w:val="21"/>
          <w:highlight w:val="none"/>
          <w:lang w:eastAsia="zh-CN"/>
        </w:rPr>
        <w:t>月</w:t>
      </w:r>
      <w:r>
        <w:rPr>
          <w:rFonts w:hint="eastAsia" w:ascii="宋体" w:hAnsi="宋体" w:cs="宋体"/>
          <w:b w:val="0"/>
          <w:bCs/>
          <w:color w:val="auto"/>
          <w:szCs w:val="21"/>
          <w:highlight w:val="none"/>
          <w:lang w:val="en-US" w:eastAsia="zh-CN"/>
        </w:rPr>
        <w:t>21</w:t>
      </w:r>
      <w:r>
        <w:rPr>
          <w:rFonts w:hint="eastAsia" w:ascii="宋体" w:hAnsi="宋体" w:eastAsia="宋体" w:cs="宋体"/>
          <w:b w:val="0"/>
          <w:bCs/>
          <w:color w:val="auto"/>
          <w:szCs w:val="21"/>
          <w:highlight w:val="none"/>
          <w:lang w:eastAsia="zh-CN"/>
        </w:rPr>
        <w:t>日</w:t>
      </w:r>
      <w:r>
        <w:rPr>
          <w:rFonts w:hint="eastAsia" w:ascii="宋体" w:hAnsi="宋体" w:cs="宋体"/>
          <w:b w:val="0"/>
          <w:bCs/>
          <w:color w:val="auto"/>
          <w:szCs w:val="21"/>
          <w:highlight w:val="none"/>
          <w:lang w:val="en-US" w:eastAsia="zh-CN"/>
        </w:rPr>
        <w:t>09</w:t>
      </w:r>
      <w:r>
        <w:rPr>
          <w:rFonts w:hint="eastAsia" w:ascii="宋体" w:hAnsi="宋体" w:eastAsia="宋体" w:cs="宋体"/>
          <w:b w:val="0"/>
          <w:bCs/>
          <w:color w:val="auto"/>
          <w:szCs w:val="21"/>
          <w:highlight w:val="none"/>
          <w:lang w:eastAsia="zh-CN"/>
        </w:rPr>
        <w:t>时</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color w:val="auto"/>
          <w:szCs w:val="21"/>
          <w:highlight w:val="none"/>
          <w:lang w:eastAsia="zh-CN"/>
        </w:rPr>
        <w:t>分前递交至邹城市石墙镇公共资源交易中心开标室。</w:t>
      </w:r>
    </w:p>
    <w:p w14:paraId="6D551B8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2、递交磋商响应文件时，供应商如出现以下情况，磋商响应文件将有权被拒绝。</w:t>
      </w:r>
    </w:p>
    <w:p w14:paraId="5ADD6A1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（1）逾期送达或未送达指定地点的磋商响应文件。</w:t>
      </w:r>
    </w:p>
    <w:p w14:paraId="0023A6A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（2）磋商响应文件未按磋商文件要求密封的。</w:t>
      </w:r>
    </w:p>
    <w:p w14:paraId="02ADB36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3、对供应商的磋商响应文件、材料不予退还。</w:t>
      </w:r>
    </w:p>
    <w:p w14:paraId="5D3244A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2" w:firstLineChars="200"/>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（四）报价要求：</w:t>
      </w:r>
    </w:p>
    <w:p w14:paraId="5A6D23D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本采购项目采用初次报价及最终报价共二次的报价方式，供应商的报价包括全部人工费、材料费、机械费、安全施工费、管理费、措施费、检测试验费、暂估价、利润、规费、税金、验收、保修服务费、并考虑风险及其他一切费用。</w:t>
      </w:r>
    </w:p>
    <w:p w14:paraId="32111AE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2、报价时考虑可调以外的材料价格上涨等一切风险因素；</w:t>
      </w:r>
    </w:p>
    <w:p w14:paraId="2E065E1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3、施工期间与周边地方关系的协调由成交单位自行处理，产生的任何费用自行承担；</w:t>
      </w:r>
    </w:p>
    <w:p w14:paraId="555A752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2" w:firstLineChars="200"/>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4、本次磋商采用初次报价及最终报价，共二次的报价方式；初次报价按磋商文件格式报价，最终报价为竞争性磋商后，由法定代表人或其委托代理人在最终磋商后递交。最终报价只报总价，</w:t>
      </w:r>
      <w:bookmarkStart w:id="10" w:name="OLE_LINK16"/>
      <w:r>
        <w:rPr>
          <w:rFonts w:hint="eastAsia" w:ascii="宋体" w:hAnsi="宋体" w:eastAsia="宋体" w:cs="宋体"/>
          <w:b/>
          <w:bCs w:val="0"/>
          <w:color w:val="auto"/>
          <w:szCs w:val="21"/>
          <w:highlight w:val="none"/>
          <w:lang w:eastAsia="zh-CN"/>
        </w:rPr>
        <w:t>分项明细报价</w:t>
      </w:r>
      <w:bookmarkEnd w:id="10"/>
      <w:r>
        <w:rPr>
          <w:rFonts w:hint="eastAsia" w:ascii="宋体" w:hAnsi="宋体" w:eastAsia="宋体" w:cs="宋体"/>
          <w:b/>
          <w:bCs w:val="0"/>
          <w:color w:val="auto"/>
          <w:szCs w:val="21"/>
          <w:highlight w:val="none"/>
          <w:lang w:eastAsia="zh-CN"/>
        </w:rPr>
        <w:t>（分部分项工程量清单单价和合价、措施项目费、其他项目费、规费、税金）按最终报价与初次报价的比率，同比例下调。供应商两次报价均不得超出采购预算（控制价），如若超出按无效响应处理。其中，磋商代理服务费应分摊在报价中。</w:t>
      </w:r>
    </w:p>
    <w:p w14:paraId="5FBA5D9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2" w:firstLineChars="200"/>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计算公式为：</w:t>
      </w:r>
    </w:p>
    <w:p w14:paraId="302F48D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2" w:firstLineChars="200"/>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报价比率=（供应商报价-暂估项目费及相应规费、税金）/（初次报价-暂估项目费及相应规费、税金）</w:t>
      </w:r>
    </w:p>
    <w:p w14:paraId="587872A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2" w:firstLineChars="200"/>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报价的分部分项工程单价与合价=报价比率×初次报价中的分部分项工程单价与合价</w:t>
      </w:r>
    </w:p>
    <w:p w14:paraId="016751E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2" w:firstLineChars="200"/>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报价的措施费=报价比率×初次报价中的措施费</w:t>
      </w:r>
    </w:p>
    <w:p w14:paraId="49DDEC8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2" w:firstLineChars="200"/>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报价的规费=报价比率×初次报价中的规费</w:t>
      </w:r>
    </w:p>
    <w:p w14:paraId="4692DD4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2" w:firstLineChars="200"/>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报价的税金=报价比率×初次报价中的税金</w:t>
      </w:r>
    </w:p>
    <w:p w14:paraId="0E990F1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5、报价币种为人民币，如果报价表大写金额与小写金额不一致，以大写的金额为准。</w:t>
      </w:r>
    </w:p>
    <w:p w14:paraId="537D00F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2" w:firstLineChars="200"/>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6、采购预算（控制价）为</w:t>
      </w:r>
      <w:r>
        <w:rPr>
          <w:rFonts w:hint="eastAsia" w:ascii="宋体" w:hAnsi="宋体" w:cs="宋体"/>
          <w:b/>
          <w:bCs w:val="0"/>
          <w:color w:val="auto"/>
          <w:szCs w:val="21"/>
          <w:highlight w:val="none"/>
          <w:lang w:eastAsia="zh-CN"/>
        </w:rPr>
        <w:t>458357.00</w:t>
      </w:r>
      <w:r>
        <w:rPr>
          <w:rFonts w:hint="eastAsia" w:ascii="宋体" w:hAnsi="宋体" w:eastAsia="宋体" w:cs="宋体"/>
          <w:b/>
          <w:bCs w:val="0"/>
          <w:color w:val="auto"/>
          <w:szCs w:val="21"/>
          <w:highlight w:val="none"/>
          <w:lang w:eastAsia="zh-CN"/>
        </w:rPr>
        <w:t>元。</w:t>
      </w:r>
    </w:p>
    <w:p w14:paraId="6B23846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7、采用公开报价及最终报价，共二次的报价方式；最终报价不得高于公开报价。供应商两次报价均不得超出采购预算（控制价），如若超出按无效响应处理。</w:t>
      </w:r>
    </w:p>
    <w:p w14:paraId="03BE11E1">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right="0" w:righ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七、磋商有效期：</w:t>
      </w:r>
    </w:p>
    <w:p w14:paraId="52367F8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自递交磋商响应文件截止之日起60个日历天。</w:t>
      </w:r>
    </w:p>
    <w:p w14:paraId="23B71A09">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right="0" w:righ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八、磋商费用：</w:t>
      </w:r>
    </w:p>
    <w:p w14:paraId="72CE94C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1、无论报价过程中的方法和结果如何，各磋商响应方自行承担所有参与磋商的有关费用。</w:t>
      </w:r>
    </w:p>
    <w:p w14:paraId="00F5665E">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default" w:ascii="宋体" w:hAnsi="宋体" w:eastAsia="宋体" w:cs="宋体"/>
          <w:b/>
          <w:bCs/>
          <w:color w:val="auto"/>
          <w:szCs w:val="21"/>
          <w:highlight w:val="none"/>
          <w:u w:val="none"/>
          <w:lang w:val="en-US" w:eastAsia="zh-CN"/>
        </w:rPr>
      </w:pPr>
      <w:r>
        <w:rPr>
          <w:rFonts w:hint="eastAsia" w:ascii="宋体" w:hAnsi="宋体" w:eastAsia="宋体" w:cs="宋体"/>
          <w:color w:val="auto"/>
          <w:szCs w:val="21"/>
          <w:highlight w:val="none"/>
        </w:rPr>
        <w:t>2、本次采购代理费为</w:t>
      </w:r>
      <w:r>
        <w:rPr>
          <w:rFonts w:hint="eastAsia" w:ascii="宋体" w:hAnsi="宋体" w:eastAsia="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lang w:val="en-US" w:eastAsia="zh-CN"/>
        </w:rPr>
        <w:t>420</w:t>
      </w:r>
      <w:r>
        <w:rPr>
          <w:rFonts w:hint="eastAsia" w:ascii="宋体" w:hAnsi="宋体" w:eastAsia="宋体" w:cs="宋体"/>
          <w:b/>
          <w:bCs/>
          <w:color w:val="auto"/>
          <w:szCs w:val="21"/>
          <w:highlight w:val="none"/>
          <w:u w:val="single"/>
          <w:lang w:val="en-US" w:eastAsia="zh-CN"/>
        </w:rPr>
        <w:t xml:space="preserve">0.00元 </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lang w:val="en-US" w:eastAsia="zh-CN"/>
        </w:rPr>
        <w:t>肆仟贰佰元整</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u w:val="none"/>
          <w:lang w:val="en-US" w:eastAsia="zh-CN"/>
        </w:rPr>
        <w:t>。</w:t>
      </w:r>
    </w:p>
    <w:p w14:paraId="2AA129D8">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b/>
          <w:color w:val="auto"/>
          <w:sz w:val="24"/>
          <w:szCs w:val="21"/>
          <w:highlight w:val="none"/>
          <w:lang w:eastAsia="zh-CN"/>
        </w:rPr>
      </w:pPr>
      <w:r>
        <w:rPr>
          <w:rFonts w:hint="eastAsia" w:ascii="宋体" w:hAnsi="宋体" w:eastAsia="宋体" w:cs="宋体"/>
          <w:color w:val="auto"/>
          <w:szCs w:val="21"/>
          <w:highlight w:val="none"/>
          <w:lang w:eastAsia="zh-CN"/>
        </w:rPr>
        <w:t>以上费用由成交供应商支付，供应商报价时应将该费用考虑到综合报价中。成交通知书发出前，成交供应商从其账户一次性汇入代理机构指定账户。</w:t>
      </w:r>
    </w:p>
    <w:p w14:paraId="3792AE19">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right="0" w:righ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九、工程款支付：</w:t>
      </w:r>
    </w:p>
    <w:p w14:paraId="5D3404A1">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22" w:firstLineChars="200"/>
        <w:textAlignment w:val="auto"/>
        <w:rPr>
          <w:rFonts w:hint="eastAsia" w:ascii="宋体" w:hAnsi="宋体" w:eastAsia="宋体" w:cs="宋体"/>
          <w:b/>
          <w:color w:val="auto"/>
          <w:szCs w:val="21"/>
          <w:highlight w:val="none"/>
          <w:u w:val="single"/>
          <w:lang w:eastAsia="zh-CN"/>
        </w:rPr>
      </w:pPr>
      <w:r>
        <w:rPr>
          <w:rFonts w:hint="eastAsia" w:ascii="宋体" w:hAnsi="宋体" w:cs="宋体"/>
          <w:b/>
          <w:color w:val="auto"/>
          <w:szCs w:val="21"/>
          <w:highlight w:val="none"/>
          <w:u w:val="single"/>
          <w:lang w:eastAsia="zh-CN"/>
        </w:rPr>
        <w:t>本工程无预付款，全部工程竣工并经相关部门验收合格后付至合同价的40%，经审计部门审计完成后付至审定价款的 30%，第三年无息付清剩余工程款的30%。工程最终结算造价以审计部门审计结果为准。</w:t>
      </w:r>
    </w:p>
    <w:p w14:paraId="1BCB22C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color w:val="auto"/>
          <w:spacing w:val="-2"/>
          <w:highlight w:val="none"/>
          <w:u w:val="single"/>
          <w:lang w:eastAsia="zh-CN"/>
        </w:rPr>
      </w:pPr>
      <w:r>
        <w:rPr>
          <w:rFonts w:hint="eastAsia" w:ascii="宋体" w:hAnsi="宋体" w:eastAsia="宋体" w:cs="宋体"/>
          <w:b/>
          <w:color w:val="auto"/>
          <w:szCs w:val="21"/>
          <w:highlight w:val="none"/>
          <w:u w:val="single"/>
          <w:lang w:eastAsia="zh-CN"/>
        </w:rPr>
        <w:t> 为确保工程保质保量按期完工，本项目工程款承包人必须专款专用，如发现承包人挪用工程款现象，由此造成的一切损失均有承包人承担</w:t>
      </w:r>
      <w:r>
        <w:rPr>
          <w:rFonts w:hint="eastAsia" w:ascii="宋体" w:hAnsi="宋体" w:eastAsia="宋体" w:cs="宋体"/>
          <w:b/>
          <w:color w:val="auto"/>
          <w:spacing w:val="-2"/>
          <w:highlight w:val="none"/>
          <w:u w:val="none"/>
          <w:lang w:eastAsia="zh-CN"/>
        </w:rPr>
        <w:t>。</w:t>
      </w:r>
    </w:p>
    <w:p w14:paraId="735484F7">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outlineLvl w:val="1"/>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十、磋商保证金</w:t>
      </w:r>
      <w:r>
        <w:rPr>
          <w:rFonts w:hint="eastAsia" w:ascii="宋体" w:hAnsi="宋体" w:eastAsia="宋体" w:cs="宋体"/>
          <w:b/>
          <w:color w:val="auto"/>
          <w:szCs w:val="21"/>
          <w:highlight w:val="none"/>
          <w:lang w:eastAsia="zh-CN"/>
        </w:rPr>
        <w:t>：</w:t>
      </w:r>
    </w:p>
    <w:p w14:paraId="26DAFE59">
      <w:pPr>
        <w:keepNext w:val="0"/>
        <w:keepLines w:val="0"/>
        <w:pageBreakBefore w:val="0"/>
        <w:widowControl w:val="0"/>
        <w:tabs>
          <w:tab w:val="left" w:pos="315"/>
        </w:tabs>
        <w:kinsoku/>
        <w:wordWrap w:val="0"/>
        <w:overflowPunct/>
        <w:topLinePunct/>
        <w:autoSpaceDE/>
        <w:autoSpaceDN/>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磋商保证金：</w:t>
      </w:r>
      <w:r>
        <w:rPr>
          <w:rFonts w:hint="eastAsia" w:ascii="宋体" w:hAnsi="宋体" w:eastAsia="宋体" w:cs="宋体"/>
          <w:b/>
          <w:color w:val="auto"/>
          <w:szCs w:val="21"/>
          <w:highlight w:val="none"/>
          <w:lang w:eastAsia="zh-CN"/>
        </w:rPr>
        <w:t>根据《山东省财政厅关于取消政府采购磋商保证金等有关事项的通知》（鲁财采〔20</w:t>
      </w:r>
      <w:r>
        <w:rPr>
          <w:rFonts w:hint="eastAsia" w:ascii="宋体" w:hAnsi="宋体" w:eastAsia="宋体" w:cs="宋体"/>
          <w:b/>
          <w:color w:val="auto"/>
          <w:szCs w:val="21"/>
          <w:highlight w:val="none"/>
          <w:lang w:val="en-US" w:eastAsia="zh-CN"/>
        </w:rPr>
        <w:t>19</w:t>
      </w:r>
      <w:r>
        <w:rPr>
          <w:rFonts w:hint="eastAsia" w:ascii="宋体" w:hAnsi="宋体" w:eastAsia="宋体" w:cs="宋体"/>
          <w:b/>
          <w:color w:val="auto"/>
          <w:szCs w:val="21"/>
          <w:highlight w:val="none"/>
          <w:lang w:eastAsia="zh-CN"/>
        </w:rPr>
        <w:t>〕40 号），本项目不收取磋商保证金。</w:t>
      </w:r>
    </w:p>
    <w:p w14:paraId="2CE2F09D">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right="0" w:righ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十一、无效磋商响应文件：</w:t>
      </w:r>
    </w:p>
    <w:p w14:paraId="5C235425">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凡具有下列情形之一的，作无效磋商响应文件：</w:t>
      </w:r>
    </w:p>
    <w:p w14:paraId="10760B44">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、超出营业执照经营范围报价的；</w:t>
      </w:r>
    </w:p>
    <w:p w14:paraId="6DE7841A">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、资格证明文件不全的，或者不符合采购文件标明的资格要求的；</w:t>
      </w:r>
    </w:p>
    <w:p w14:paraId="7BE14869">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、响应文件签字或盖章不满足磋商文件要求的；</w:t>
      </w:r>
    </w:p>
    <w:p w14:paraId="4C7898B7">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、不响应或者擅自改变采购文件要求或者响应文件有采购人不能接受的附加条件的；</w:t>
      </w:r>
    </w:p>
    <w:p w14:paraId="0C75B13B">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、提供的有关资格、资质证明文件不真实，提供虚假报价材料的；</w:t>
      </w:r>
    </w:p>
    <w:p w14:paraId="736FD4A4">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、磋商响应方串通报价的；</w:t>
      </w:r>
    </w:p>
    <w:p w14:paraId="23468D30">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、磋商响应方向采购人、代理采购机构、评审专家提供不正当利益的；</w:t>
      </w:r>
    </w:p>
    <w:p w14:paraId="3F728CCA">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、磋商响应方的初次报价和最终报价超过采购预算(控制价)的；</w:t>
      </w:r>
    </w:p>
    <w:p w14:paraId="66EF1ADC">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420" w:leftChars="200" w:right="0" w:righ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9、磋商响应方的最终报价高于初次报价的；</w:t>
      </w:r>
    </w:p>
    <w:p w14:paraId="47B656A1">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420" w:leftChars="200" w:right="0" w:righ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10、没有按磋商文件要求报价，增减或修改磋商文件提供的工程量清单的；</w:t>
      </w:r>
    </w:p>
    <w:p w14:paraId="255ABC09">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11、降低本磋商文件规定不可竞争费用的。 </w:t>
      </w:r>
    </w:p>
    <w:p w14:paraId="7FE31132">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12、法律、法规规定的其他情况。</w:t>
      </w:r>
    </w:p>
    <w:p w14:paraId="3BF13BA8">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right="0" w:righ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、质疑和投诉：</w:t>
      </w:r>
    </w:p>
    <w:p w14:paraId="4BDC2371">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质疑：参加磋商的供应商认为磋商文件、采购过程和成交结果使自己的合法权益受到损害的，有权依法向采购人或采购代理机构提出质疑。</w:t>
      </w:r>
    </w:p>
    <w:p w14:paraId="28860D89">
      <w:pPr>
        <w:keepNext w:val="0"/>
        <w:keepLines w:val="0"/>
        <w:pageBreakBefore w:val="0"/>
        <w:widowControl w:val="0"/>
        <w:tabs>
          <w:tab w:val="left" w:pos="315"/>
        </w:tabs>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投诉：参加磋商的供应商对采购人的质疑答复不满意，或者采购人未在规定期限内作出答复的，供应商可以在答复期满后可以向相关行政主管部门投诉。</w:t>
      </w:r>
    </w:p>
    <w:p w14:paraId="1D301CA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11" w:name="_Toc11977"/>
      <w:bookmarkStart w:id="12" w:name="_Toc22085"/>
      <w:bookmarkStart w:id="13" w:name="_Toc30291"/>
      <w:bookmarkStart w:id="14" w:name="_Toc31011"/>
      <w:bookmarkStart w:id="15" w:name="_Toc21211"/>
      <w:bookmarkStart w:id="16" w:name="_Toc494210626"/>
      <w:bookmarkStart w:id="17" w:name="_Toc31174"/>
      <w:bookmarkStart w:id="18" w:name="_Toc1466"/>
      <w:bookmarkStart w:id="19" w:name="_Toc22960"/>
      <w:bookmarkStart w:id="20" w:name="_Toc4171"/>
      <w:bookmarkStart w:id="21" w:name="_Toc23800"/>
      <w:bookmarkStart w:id="22" w:name="_Toc13071"/>
      <w:r>
        <w:rPr>
          <w:rFonts w:hint="eastAsia" w:ascii="宋体" w:hAnsi="宋体" w:eastAsia="宋体" w:cs="宋体"/>
          <w:b/>
          <w:color w:val="auto"/>
          <w:sz w:val="32"/>
          <w:szCs w:val="32"/>
          <w:highlight w:val="none"/>
        </w:rPr>
        <w:t>第三部分  磋商组织、步骤与评审方法</w:t>
      </w:r>
      <w:bookmarkEnd w:id="11"/>
      <w:bookmarkEnd w:id="12"/>
      <w:bookmarkEnd w:id="13"/>
      <w:bookmarkEnd w:id="14"/>
      <w:bookmarkEnd w:id="15"/>
    </w:p>
    <w:p w14:paraId="7336F59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一、磋商组织：</w:t>
      </w:r>
    </w:p>
    <w:p w14:paraId="3171B9D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1、采购人在磋商文件规定的时间和地点组织磋商，磋商响应方须派代表参加；</w:t>
      </w:r>
    </w:p>
    <w:p w14:paraId="6269878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2、磋商小组由三人（含）以上单数的人员组成，其中专家的人数不少于成员总数的三分之二，磋商小组对磋商响应文件进行审查、质疑、评估和比较。</w:t>
      </w:r>
    </w:p>
    <w:p w14:paraId="35DC501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二、磋商步骤：</w:t>
      </w:r>
    </w:p>
    <w:p w14:paraId="4AD254E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1、检查磋商响应文件密封情况：各磋商响应方对自己递交的磋商响应文件密封情况进行检查；</w:t>
      </w:r>
    </w:p>
    <w:p w14:paraId="3B34607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2、磋商响应文件初步审核：</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小组对</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响应文件进行符合性审核；</w:t>
      </w:r>
    </w:p>
    <w:p w14:paraId="1DE01F5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3、磋商小组所有成员集中根据磋商需要与单一供应商分别</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w:t>
      </w:r>
    </w:p>
    <w:p w14:paraId="394CE8E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4、磋商结束后，所有参加磋商的供应商进行最终报价；</w:t>
      </w:r>
    </w:p>
    <w:p w14:paraId="6026C06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5、磋商小组按照如下评审办法对最终报价后所有实质性响应的供应商进行评审推荐，3名成交候选供应商。</w:t>
      </w:r>
    </w:p>
    <w:p w14:paraId="6118C3A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right="0" w:rightChars="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三、评审办法：</w:t>
      </w:r>
    </w:p>
    <w:p w14:paraId="2D41A14E">
      <w:pPr>
        <w:keepNext w:val="0"/>
        <w:keepLines w:val="0"/>
        <w:pageBreakBefore w:val="0"/>
        <w:widowControl w:val="0"/>
        <w:tabs>
          <w:tab w:val="left" w:pos="0"/>
          <w:tab w:val="left" w:pos="885"/>
          <w:tab w:val="left" w:pos="990"/>
        </w:tabs>
        <w:kinsoku/>
        <w:wordWrap w:val="0"/>
        <w:overflowPunct/>
        <w:topLinePunct/>
        <w:autoSpaceDE/>
        <w:autoSpaceDN/>
        <w:bidi w:val="0"/>
        <w:adjustRightInd w:val="0"/>
        <w:snapToGrid w:val="0"/>
        <w:spacing w:beforeAutospacing="0" w:afterAutospacing="0" w:line="360" w:lineRule="auto"/>
        <w:ind w:left="0" w:leftChars="0" w:right="0" w:rightChars="0"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本项目采用综合评分法，是指响应文件满足磋商文件全部实质性要求且按评审因素的量化指标评审得分，按照评审得分由高到低顺序推荐成交候选供应商的评审方法。</w:t>
      </w:r>
    </w:p>
    <w:tbl>
      <w:tblPr>
        <w:tblStyle w:val="11"/>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1"/>
        <w:gridCol w:w="2294"/>
        <w:gridCol w:w="708"/>
        <w:gridCol w:w="6385"/>
      </w:tblGrid>
      <w:tr w14:paraId="42654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85" w:type="dxa"/>
            <w:gridSpan w:val="2"/>
            <w:tcBorders>
              <w:top w:val="single" w:color="auto" w:sz="4" w:space="0"/>
              <w:right w:val="single" w:color="auto" w:sz="4" w:space="0"/>
            </w:tcBorders>
            <w:noWrap w:val="0"/>
            <w:vAlign w:val="center"/>
          </w:tcPr>
          <w:p w14:paraId="25A67D69">
            <w:pPr>
              <w:spacing w:line="360" w:lineRule="auto"/>
              <w:jc w:val="center"/>
              <w:rPr>
                <w:rFonts w:hint="eastAsia" w:ascii="宋体" w:hAnsi="宋体" w:eastAsia="宋体" w:cs="宋体"/>
                <w:b/>
                <w:color w:val="auto"/>
                <w:szCs w:val="21"/>
              </w:rPr>
            </w:pPr>
          </w:p>
        </w:tc>
        <w:tc>
          <w:tcPr>
            <w:tcW w:w="708" w:type="dxa"/>
            <w:tcBorders>
              <w:top w:val="single" w:color="auto" w:sz="4" w:space="0"/>
              <w:left w:val="single" w:color="auto" w:sz="4" w:space="0"/>
              <w:right w:val="single" w:color="auto" w:sz="4" w:space="0"/>
            </w:tcBorders>
            <w:noWrap w:val="0"/>
            <w:vAlign w:val="center"/>
          </w:tcPr>
          <w:p w14:paraId="41986972">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评分</w:t>
            </w:r>
          </w:p>
          <w:p w14:paraId="103E471D">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因素</w:t>
            </w:r>
          </w:p>
        </w:tc>
        <w:tc>
          <w:tcPr>
            <w:tcW w:w="6385" w:type="dxa"/>
            <w:tcBorders>
              <w:top w:val="single" w:color="auto" w:sz="4" w:space="0"/>
              <w:left w:val="single" w:color="auto" w:sz="4" w:space="0"/>
              <w:right w:val="single" w:color="auto" w:sz="4" w:space="0"/>
            </w:tcBorders>
            <w:noWrap w:val="0"/>
            <w:vAlign w:val="center"/>
          </w:tcPr>
          <w:p w14:paraId="6DF5AFBA">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评分标准</w:t>
            </w:r>
          </w:p>
        </w:tc>
      </w:tr>
      <w:tr w14:paraId="51E89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91" w:type="dxa"/>
            <w:tcBorders>
              <w:top w:val="single" w:color="auto" w:sz="4" w:space="0"/>
              <w:bottom w:val="single" w:color="auto" w:sz="4" w:space="0"/>
              <w:right w:val="single" w:color="auto" w:sz="4" w:space="0"/>
            </w:tcBorders>
            <w:noWrap w:val="0"/>
            <w:vAlign w:val="center"/>
          </w:tcPr>
          <w:p w14:paraId="340F2079">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一</w:t>
            </w:r>
          </w:p>
        </w:tc>
        <w:tc>
          <w:tcPr>
            <w:tcW w:w="2294" w:type="dxa"/>
            <w:tcBorders>
              <w:top w:val="single" w:color="auto" w:sz="4" w:space="0"/>
              <w:bottom w:val="single" w:color="auto" w:sz="4" w:space="0"/>
              <w:right w:val="single" w:color="auto" w:sz="4" w:space="0"/>
            </w:tcBorders>
            <w:noWrap w:val="0"/>
            <w:vAlign w:val="center"/>
          </w:tcPr>
          <w:p w14:paraId="39CFAE07">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报价得分</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B8E0B56">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lang w:val="en-US" w:eastAsia="zh-CN"/>
              </w:rPr>
              <w:t>30</w:t>
            </w:r>
            <w:r>
              <w:rPr>
                <w:rFonts w:hint="eastAsia" w:ascii="宋体" w:hAnsi="宋体" w:eastAsia="宋体" w:cs="宋体"/>
                <w:b/>
                <w:color w:val="auto"/>
                <w:szCs w:val="21"/>
              </w:rPr>
              <w:t>分</w:t>
            </w:r>
          </w:p>
        </w:tc>
        <w:tc>
          <w:tcPr>
            <w:tcW w:w="6385" w:type="dxa"/>
            <w:tcBorders>
              <w:top w:val="single" w:color="auto" w:sz="4" w:space="0"/>
              <w:left w:val="single" w:color="auto" w:sz="4" w:space="0"/>
              <w:bottom w:val="single" w:color="auto" w:sz="4" w:space="0"/>
              <w:right w:val="single" w:color="auto" w:sz="4" w:space="0"/>
            </w:tcBorders>
            <w:noWrap w:val="0"/>
            <w:vAlign w:val="center"/>
          </w:tcPr>
          <w:p w14:paraId="7FE4C2BE">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供应商的报价得分统一采用最低价优先法计算，即满足磋商文件要求且最终报价最低的供应商的价格为磋商基准价，其报价得分为满分</w:t>
            </w:r>
            <w:r>
              <w:rPr>
                <w:rFonts w:hint="eastAsia" w:ascii="宋体" w:hAnsi="宋体" w:eastAsia="宋体" w:cs="宋体"/>
                <w:color w:val="auto"/>
                <w:szCs w:val="21"/>
                <w:lang w:val="en-US" w:eastAsia="zh-CN"/>
              </w:rPr>
              <w:t>30</w:t>
            </w:r>
            <w:r>
              <w:rPr>
                <w:rFonts w:hint="eastAsia" w:ascii="宋体" w:hAnsi="宋体" w:eastAsia="宋体" w:cs="宋体"/>
                <w:color w:val="auto"/>
                <w:szCs w:val="21"/>
              </w:rPr>
              <w:t>分。其他供应商的报价得分统一按照下列公式计算：磋商报价得分=（磋商基准价/最终磋商报价）×</w:t>
            </w:r>
            <w:r>
              <w:rPr>
                <w:rFonts w:hint="eastAsia" w:ascii="宋体" w:hAnsi="宋体" w:eastAsia="宋体" w:cs="宋体"/>
                <w:color w:val="auto"/>
                <w:szCs w:val="21"/>
                <w:lang w:val="en-US" w:eastAsia="zh-CN"/>
              </w:rPr>
              <w:t>30</w:t>
            </w:r>
            <w:r>
              <w:rPr>
                <w:rFonts w:hint="eastAsia" w:ascii="宋体" w:hAnsi="宋体" w:eastAsia="宋体" w:cs="宋体"/>
                <w:color w:val="auto"/>
                <w:szCs w:val="21"/>
              </w:rPr>
              <w:t>×100%</w:t>
            </w:r>
          </w:p>
        </w:tc>
      </w:tr>
      <w:tr w14:paraId="153BD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491" w:type="dxa"/>
            <w:tcBorders>
              <w:top w:val="single" w:color="auto" w:sz="4" w:space="0"/>
              <w:bottom w:val="single" w:color="auto" w:sz="4" w:space="0"/>
              <w:right w:val="single" w:color="auto" w:sz="4" w:space="0"/>
            </w:tcBorders>
            <w:noWrap w:val="0"/>
            <w:vAlign w:val="center"/>
          </w:tcPr>
          <w:p w14:paraId="45D1A5EE">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二</w:t>
            </w:r>
          </w:p>
        </w:tc>
        <w:tc>
          <w:tcPr>
            <w:tcW w:w="2294" w:type="dxa"/>
            <w:tcBorders>
              <w:top w:val="single" w:color="auto" w:sz="4" w:space="0"/>
              <w:bottom w:val="single" w:color="auto" w:sz="4" w:space="0"/>
              <w:right w:val="single" w:color="auto" w:sz="4" w:space="0"/>
            </w:tcBorders>
            <w:noWrap w:val="0"/>
            <w:vAlign w:val="center"/>
          </w:tcPr>
          <w:p w14:paraId="6FDEAFB8">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施工组织设计</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7CA6ABE">
            <w:pPr>
              <w:adjustRightInd w:val="0"/>
              <w:snapToGrid w:val="0"/>
              <w:spacing w:line="360" w:lineRule="auto"/>
              <w:jc w:val="center"/>
              <w:rPr>
                <w:rFonts w:hint="eastAsia" w:ascii="宋体" w:hAnsi="宋体" w:eastAsia="宋体" w:cs="宋体"/>
                <w:b/>
                <w:color w:val="auto"/>
                <w:szCs w:val="21"/>
              </w:rPr>
            </w:pPr>
            <w:r>
              <w:rPr>
                <w:rFonts w:hint="eastAsia" w:ascii="宋体" w:hAnsi="宋体" w:cs="宋体"/>
                <w:b/>
                <w:color w:val="auto"/>
                <w:szCs w:val="21"/>
                <w:lang w:val="en-US" w:eastAsia="zh-CN"/>
              </w:rPr>
              <w:t>60</w:t>
            </w:r>
            <w:r>
              <w:rPr>
                <w:rFonts w:hint="eastAsia" w:ascii="宋体" w:hAnsi="宋体" w:eastAsia="宋体" w:cs="宋体"/>
                <w:b/>
                <w:color w:val="auto"/>
                <w:szCs w:val="21"/>
              </w:rPr>
              <w:t>分</w:t>
            </w:r>
          </w:p>
        </w:tc>
        <w:tc>
          <w:tcPr>
            <w:tcW w:w="6385" w:type="dxa"/>
            <w:tcBorders>
              <w:top w:val="single" w:color="auto" w:sz="4" w:space="0"/>
              <w:left w:val="single" w:color="auto" w:sz="4" w:space="0"/>
              <w:bottom w:val="single" w:color="auto" w:sz="4" w:space="0"/>
              <w:right w:val="single" w:color="auto" w:sz="4" w:space="0"/>
            </w:tcBorders>
            <w:noWrap w:val="0"/>
            <w:vAlign w:val="center"/>
          </w:tcPr>
          <w:p w14:paraId="29B9CB41">
            <w:pPr>
              <w:adjustRightInd w:val="0"/>
              <w:snapToGrid w:val="0"/>
              <w:spacing w:line="360" w:lineRule="auto"/>
              <w:jc w:val="left"/>
              <w:rPr>
                <w:rFonts w:hint="eastAsia" w:ascii="宋体" w:hAnsi="宋体" w:eastAsia="宋体" w:cs="宋体"/>
                <w:color w:val="auto"/>
                <w:szCs w:val="21"/>
              </w:rPr>
            </w:pPr>
          </w:p>
        </w:tc>
      </w:tr>
      <w:tr w14:paraId="7073C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491" w:type="dxa"/>
            <w:tcBorders>
              <w:top w:val="single" w:color="auto" w:sz="4" w:space="0"/>
              <w:bottom w:val="single" w:color="auto" w:sz="4" w:space="0"/>
              <w:right w:val="single" w:color="auto" w:sz="4" w:space="0"/>
            </w:tcBorders>
            <w:noWrap w:val="0"/>
            <w:vAlign w:val="center"/>
          </w:tcPr>
          <w:p w14:paraId="67288DD8">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294" w:type="dxa"/>
            <w:tcBorders>
              <w:top w:val="single" w:color="auto" w:sz="4" w:space="0"/>
              <w:bottom w:val="single" w:color="auto" w:sz="4" w:space="0"/>
              <w:right w:val="single" w:color="auto" w:sz="4" w:space="0"/>
            </w:tcBorders>
            <w:noWrap w:val="0"/>
            <w:vAlign w:val="center"/>
          </w:tcPr>
          <w:p w14:paraId="4BD0CAB5">
            <w:pPr>
              <w:widowControl/>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 w:val="22"/>
                <w:szCs w:val="22"/>
              </w:rPr>
              <w:t>总体概述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CB90D69">
            <w:pPr>
              <w:adjustRightInd w:val="0"/>
              <w:snapToGrid w:val="0"/>
              <w:spacing w:line="400" w:lineRule="exact"/>
              <w:jc w:val="center"/>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分</w:t>
            </w:r>
          </w:p>
        </w:tc>
        <w:tc>
          <w:tcPr>
            <w:tcW w:w="6385" w:type="dxa"/>
            <w:tcBorders>
              <w:top w:val="single" w:color="auto" w:sz="4" w:space="0"/>
              <w:left w:val="single" w:color="auto" w:sz="4" w:space="0"/>
              <w:bottom w:val="single" w:color="auto" w:sz="4" w:space="0"/>
              <w:right w:val="single" w:color="auto" w:sz="4" w:space="0"/>
            </w:tcBorders>
            <w:noWrap w:val="0"/>
            <w:vAlign w:val="center"/>
          </w:tcPr>
          <w:p w14:paraId="7E11CB94">
            <w:pPr>
              <w:spacing w:line="400" w:lineRule="exact"/>
              <w:rPr>
                <w:rFonts w:hint="eastAsia" w:ascii="宋体" w:hAnsi="宋体" w:eastAsia="宋体" w:cs="宋体"/>
                <w:color w:val="auto"/>
                <w:szCs w:val="21"/>
              </w:rPr>
            </w:pPr>
            <w:r>
              <w:rPr>
                <w:rFonts w:hint="eastAsia" w:ascii="宋体" w:hAnsi="宋体" w:eastAsia="宋体" w:cs="宋体"/>
                <w:color w:val="auto"/>
                <w:sz w:val="22"/>
                <w:szCs w:val="22"/>
                <w:lang w:val="en-US" w:eastAsia="zh-CN"/>
              </w:rPr>
              <w:t>有该项得</w:t>
            </w:r>
            <w:r>
              <w:rPr>
                <w:rFonts w:hint="eastAsia" w:ascii="宋体" w:hAnsi="宋体" w:cs="宋体"/>
                <w:color w:val="auto"/>
                <w:sz w:val="22"/>
                <w:szCs w:val="22"/>
                <w:lang w:val="en-US" w:eastAsia="zh-CN"/>
              </w:rPr>
              <w:t>2</w:t>
            </w:r>
            <w:r>
              <w:rPr>
                <w:rFonts w:hint="eastAsia" w:ascii="宋体" w:hAnsi="宋体" w:eastAsia="宋体" w:cs="宋体"/>
                <w:color w:val="auto"/>
                <w:sz w:val="22"/>
                <w:szCs w:val="22"/>
                <w:lang w:val="en-US" w:eastAsia="zh-CN"/>
              </w:rPr>
              <w:t>分，缺项不得分。</w:t>
            </w:r>
            <w:r>
              <w:rPr>
                <w:rFonts w:hint="eastAsia" w:ascii="宋体" w:hAnsi="宋体" w:eastAsia="宋体" w:cs="宋体"/>
                <w:color w:val="auto"/>
                <w:sz w:val="22"/>
                <w:szCs w:val="22"/>
              </w:rPr>
              <w:t>对工程整体的认识表述完整清晰程度，措施先进、具体程度，施工段划分清晰、合理符合规范要求程度</w:t>
            </w:r>
            <w:r>
              <w:rPr>
                <w:rFonts w:hint="eastAsia" w:ascii="宋体" w:hAnsi="宋体" w:eastAsia="宋体" w:cs="宋体"/>
                <w:color w:val="auto"/>
                <w:sz w:val="22"/>
                <w:szCs w:val="22"/>
                <w:lang w:val="en-US" w:eastAsia="zh-CN"/>
              </w:rPr>
              <w:t>最高</w:t>
            </w:r>
            <w:r>
              <w:rPr>
                <w:rFonts w:hint="eastAsia" w:ascii="宋体" w:hAnsi="宋体" w:eastAsia="宋体" w:cs="宋体"/>
                <w:color w:val="auto"/>
                <w:sz w:val="22"/>
                <w:szCs w:val="22"/>
              </w:rPr>
              <w:t>得</w:t>
            </w:r>
            <w:r>
              <w:rPr>
                <w:rFonts w:hint="eastAsia" w:ascii="宋体" w:hAnsi="宋体" w:cs="宋体"/>
                <w:color w:val="auto"/>
                <w:sz w:val="22"/>
                <w:szCs w:val="22"/>
                <w:lang w:val="en-US" w:eastAsia="zh-CN"/>
              </w:rPr>
              <w:t>4</w:t>
            </w:r>
            <w:r>
              <w:rPr>
                <w:rFonts w:hint="eastAsia" w:ascii="宋体" w:hAnsi="宋体" w:eastAsia="宋体" w:cs="宋体"/>
                <w:color w:val="auto"/>
                <w:sz w:val="22"/>
                <w:szCs w:val="22"/>
              </w:rPr>
              <w:t>分</w:t>
            </w:r>
            <w:r>
              <w:rPr>
                <w:rFonts w:hint="eastAsia" w:ascii="宋体" w:hAnsi="宋体" w:eastAsia="宋体" w:cs="宋体"/>
                <w:color w:val="auto"/>
                <w:sz w:val="22"/>
                <w:szCs w:val="22"/>
                <w:lang w:eastAsia="zh-CN"/>
              </w:rPr>
              <w:t>；</w:t>
            </w:r>
          </w:p>
        </w:tc>
      </w:tr>
      <w:tr w14:paraId="530F4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491" w:type="dxa"/>
            <w:tcBorders>
              <w:top w:val="single" w:color="auto" w:sz="4" w:space="0"/>
              <w:bottom w:val="single" w:color="auto" w:sz="4" w:space="0"/>
              <w:right w:val="single" w:color="auto" w:sz="4" w:space="0"/>
            </w:tcBorders>
            <w:noWrap w:val="0"/>
            <w:vAlign w:val="center"/>
          </w:tcPr>
          <w:p w14:paraId="02FAF168">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294" w:type="dxa"/>
            <w:tcBorders>
              <w:top w:val="single" w:color="auto" w:sz="4" w:space="0"/>
              <w:bottom w:val="single" w:color="auto" w:sz="4" w:space="0"/>
              <w:right w:val="single" w:color="auto" w:sz="4" w:space="0"/>
            </w:tcBorders>
            <w:noWrap w:val="0"/>
            <w:vAlign w:val="center"/>
          </w:tcPr>
          <w:p w14:paraId="157A1D45">
            <w:pPr>
              <w:widowControl/>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施工进度计划和保证措施</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5A94DF7">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分</w:t>
            </w:r>
          </w:p>
        </w:tc>
        <w:tc>
          <w:tcPr>
            <w:tcW w:w="6385" w:type="dxa"/>
            <w:tcBorders>
              <w:top w:val="single" w:color="auto" w:sz="4" w:space="0"/>
              <w:left w:val="single" w:color="auto" w:sz="4" w:space="0"/>
              <w:bottom w:val="single" w:color="auto" w:sz="4" w:space="0"/>
              <w:right w:val="single" w:color="auto" w:sz="4" w:space="0"/>
            </w:tcBorders>
            <w:noWrap w:val="0"/>
            <w:vAlign w:val="center"/>
          </w:tcPr>
          <w:p w14:paraId="3A27CE6C">
            <w:pPr>
              <w:spacing w:line="400" w:lineRule="exact"/>
              <w:rPr>
                <w:rFonts w:hint="eastAsia" w:ascii="宋体" w:hAnsi="宋体" w:eastAsia="宋体" w:cs="宋体"/>
                <w:color w:val="auto"/>
                <w:szCs w:val="21"/>
              </w:rPr>
            </w:pPr>
            <w:r>
              <w:rPr>
                <w:rFonts w:hint="eastAsia" w:ascii="宋体" w:hAnsi="宋体" w:eastAsia="宋体" w:cs="宋体"/>
                <w:color w:val="auto"/>
                <w:szCs w:val="21"/>
              </w:rPr>
              <w:t>有该项得2分，缺项不得分，根据施工进度计划编排合理，可行、关键路线清晰准确和各阶段进度的保证措施可靠、内容齐全可行</w:t>
            </w:r>
            <w:r>
              <w:rPr>
                <w:rFonts w:hint="eastAsia" w:ascii="宋体" w:hAnsi="宋体" w:eastAsia="宋体" w:cs="宋体"/>
                <w:color w:val="auto"/>
                <w:szCs w:val="21"/>
                <w:lang w:val="en-US" w:eastAsia="zh-CN"/>
              </w:rPr>
              <w:t>的最高得4</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tc>
      </w:tr>
      <w:tr w14:paraId="354C5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91" w:type="dxa"/>
            <w:tcBorders>
              <w:top w:val="single" w:color="auto" w:sz="4" w:space="0"/>
              <w:bottom w:val="single" w:color="auto" w:sz="4" w:space="0"/>
              <w:right w:val="single" w:color="auto" w:sz="4" w:space="0"/>
            </w:tcBorders>
            <w:noWrap w:val="0"/>
            <w:vAlign w:val="center"/>
          </w:tcPr>
          <w:p w14:paraId="56CBF643">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2294" w:type="dxa"/>
            <w:tcBorders>
              <w:top w:val="single" w:color="auto" w:sz="4" w:space="0"/>
              <w:bottom w:val="single" w:color="auto" w:sz="4" w:space="0"/>
              <w:right w:val="single" w:color="auto" w:sz="4" w:space="0"/>
            </w:tcBorders>
            <w:noWrap w:val="0"/>
            <w:vAlign w:val="center"/>
          </w:tcPr>
          <w:p w14:paraId="57ED3051">
            <w:pPr>
              <w:widowControl/>
              <w:adjustRightInd w:val="0"/>
              <w:snapToGri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szCs w:val="21"/>
              </w:rPr>
              <w:t>质量管理体系与措施</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9DB8ECE">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分</w:t>
            </w:r>
          </w:p>
        </w:tc>
        <w:tc>
          <w:tcPr>
            <w:tcW w:w="6385" w:type="dxa"/>
            <w:tcBorders>
              <w:top w:val="single" w:color="auto" w:sz="4" w:space="0"/>
              <w:left w:val="single" w:color="auto" w:sz="4" w:space="0"/>
              <w:bottom w:val="single" w:color="auto" w:sz="4" w:space="0"/>
              <w:right w:val="single" w:color="auto" w:sz="4" w:space="0"/>
            </w:tcBorders>
            <w:noWrap w:val="0"/>
            <w:vAlign w:val="top"/>
          </w:tcPr>
          <w:p w14:paraId="76C6F349">
            <w:pPr>
              <w:spacing w:line="400" w:lineRule="exact"/>
              <w:rPr>
                <w:rFonts w:hint="eastAsia" w:ascii="宋体" w:hAnsi="宋体" w:eastAsia="宋体" w:cs="宋体"/>
                <w:color w:val="auto"/>
                <w:szCs w:val="21"/>
              </w:rPr>
            </w:pPr>
            <w:r>
              <w:rPr>
                <w:rFonts w:hint="eastAsia" w:ascii="宋体" w:hAnsi="宋体" w:eastAsia="宋体" w:cs="宋体"/>
                <w:color w:val="auto"/>
                <w:szCs w:val="21"/>
              </w:rPr>
              <w:t>有该项得基本分</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分，缺项不得分，根据体系完整、内容齐全、安排合理、针对项目特点措施先进可行、通病治理措施具体可靠</w:t>
            </w:r>
            <w:r>
              <w:rPr>
                <w:rFonts w:hint="eastAsia" w:ascii="宋体" w:hAnsi="宋体" w:eastAsia="宋体" w:cs="宋体"/>
                <w:color w:val="auto"/>
                <w:szCs w:val="21"/>
                <w:lang w:val="en-US" w:eastAsia="zh-CN"/>
              </w:rPr>
              <w:t>的最高得4</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tc>
      </w:tr>
      <w:tr w14:paraId="6B506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491" w:type="dxa"/>
            <w:tcBorders>
              <w:top w:val="single" w:color="auto" w:sz="4" w:space="0"/>
              <w:right w:val="single" w:color="auto" w:sz="4" w:space="0"/>
            </w:tcBorders>
            <w:noWrap w:val="0"/>
            <w:vAlign w:val="center"/>
          </w:tcPr>
          <w:p w14:paraId="531F419B">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2294" w:type="dxa"/>
            <w:tcBorders>
              <w:top w:val="single" w:color="auto" w:sz="4" w:space="0"/>
              <w:right w:val="single" w:color="auto" w:sz="4" w:space="0"/>
            </w:tcBorders>
            <w:noWrap w:val="0"/>
            <w:vAlign w:val="center"/>
          </w:tcPr>
          <w:p w14:paraId="5F155055">
            <w:pPr>
              <w:widowControl/>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安全管理体系与措施</w:t>
            </w:r>
          </w:p>
        </w:tc>
        <w:tc>
          <w:tcPr>
            <w:tcW w:w="708" w:type="dxa"/>
            <w:tcBorders>
              <w:top w:val="single" w:color="auto" w:sz="4" w:space="0"/>
              <w:left w:val="single" w:color="auto" w:sz="4" w:space="0"/>
              <w:right w:val="single" w:color="auto" w:sz="4" w:space="0"/>
            </w:tcBorders>
            <w:noWrap w:val="0"/>
            <w:vAlign w:val="center"/>
          </w:tcPr>
          <w:p w14:paraId="56F27C69">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分</w:t>
            </w:r>
          </w:p>
        </w:tc>
        <w:tc>
          <w:tcPr>
            <w:tcW w:w="6385" w:type="dxa"/>
            <w:tcBorders>
              <w:top w:val="single" w:color="auto" w:sz="4" w:space="0"/>
              <w:left w:val="single" w:color="auto" w:sz="4" w:space="0"/>
              <w:bottom w:val="single" w:color="auto" w:sz="4" w:space="0"/>
              <w:right w:val="single" w:color="auto" w:sz="4" w:space="0"/>
            </w:tcBorders>
            <w:noWrap w:val="0"/>
            <w:vAlign w:val="center"/>
          </w:tcPr>
          <w:p w14:paraId="5BFE24C8">
            <w:pPr>
              <w:spacing w:line="400" w:lineRule="exact"/>
              <w:rPr>
                <w:rFonts w:hint="eastAsia" w:ascii="宋体" w:hAnsi="宋体" w:eastAsia="宋体" w:cs="宋体"/>
                <w:color w:val="auto"/>
                <w:szCs w:val="21"/>
              </w:rPr>
            </w:pPr>
            <w:r>
              <w:rPr>
                <w:rFonts w:hint="eastAsia" w:ascii="宋体" w:hAnsi="宋体" w:eastAsia="宋体" w:cs="宋体"/>
                <w:color w:val="auto"/>
                <w:szCs w:val="21"/>
              </w:rPr>
              <w:t>有该项得基本分</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分，缺项不得分，根据体系完整、内容齐全、安排恰当、措施针对项目实际情况规范具体完整、应急救援预案可行</w:t>
            </w:r>
            <w:r>
              <w:rPr>
                <w:rFonts w:hint="eastAsia" w:ascii="宋体" w:hAnsi="宋体" w:eastAsia="宋体" w:cs="宋体"/>
                <w:color w:val="auto"/>
                <w:szCs w:val="21"/>
                <w:lang w:val="en-US" w:eastAsia="zh-CN"/>
              </w:rPr>
              <w:t>的最高得4</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tc>
      </w:tr>
      <w:tr w14:paraId="6EEC2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491" w:type="dxa"/>
            <w:tcBorders>
              <w:top w:val="single" w:color="auto" w:sz="4" w:space="0"/>
              <w:bottom w:val="single" w:color="auto" w:sz="4" w:space="0"/>
              <w:right w:val="single" w:color="auto" w:sz="4" w:space="0"/>
            </w:tcBorders>
            <w:noWrap w:val="0"/>
            <w:vAlign w:val="center"/>
          </w:tcPr>
          <w:p w14:paraId="446A7FC9">
            <w:pPr>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Cs/>
                <w:color w:val="auto"/>
                <w:szCs w:val="21"/>
              </w:rPr>
              <w:t>5</w:t>
            </w:r>
          </w:p>
        </w:tc>
        <w:tc>
          <w:tcPr>
            <w:tcW w:w="2294" w:type="dxa"/>
            <w:tcBorders>
              <w:top w:val="single" w:color="auto" w:sz="4" w:space="0"/>
              <w:bottom w:val="single" w:color="auto" w:sz="4" w:space="0"/>
              <w:right w:val="single" w:color="auto" w:sz="4" w:space="0"/>
            </w:tcBorders>
            <w:noWrap w:val="0"/>
            <w:vAlign w:val="center"/>
          </w:tcPr>
          <w:p w14:paraId="2E7B732E">
            <w:pPr>
              <w:widowControl/>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color w:val="auto"/>
                <w:szCs w:val="21"/>
              </w:rPr>
              <w:t>环保管理体系与措施</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F01E05C">
            <w:pPr>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分</w:t>
            </w:r>
          </w:p>
        </w:tc>
        <w:tc>
          <w:tcPr>
            <w:tcW w:w="6385" w:type="dxa"/>
            <w:tcBorders>
              <w:top w:val="single" w:color="auto" w:sz="4" w:space="0"/>
              <w:left w:val="single" w:color="auto" w:sz="4" w:space="0"/>
              <w:bottom w:val="single" w:color="auto" w:sz="4" w:space="0"/>
              <w:right w:val="single" w:color="auto" w:sz="4" w:space="0"/>
            </w:tcBorders>
            <w:noWrap w:val="0"/>
            <w:vAlign w:val="center"/>
          </w:tcPr>
          <w:p w14:paraId="46CCC479">
            <w:pPr>
              <w:spacing w:line="400" w:lineRule="exact"/>
              <w:rPr>
                <w:rFonts w:hint="eastAsia" w:ascii="宋体" w:hAnsi="宋体" w:eastAsia="宋体" w:cs="宋体"/>
                <w:color w:val="auto"/>
                <w:szCs w:val="21"/>
              </w:rPr>
            </w:pPr>
            <w:r>
              <w:rPr>
                <w:rFonts w:hint="eastAsia" w:ascii="宋体" w:hAnsi="宋体" w:eastAsia="宋体" w:cs="宋体"/>
                <w:color w:val="auto"/>
                <w:szCs w:val="21"/>
              </w:rPr>
              <w:t>有该项得基本分</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分，缺项不得分，根据体系完整、内容齐全、安排恰当、措施可行程度</w:t>
            </w:r>
            <w:r>
              <w:rPr>
                <w:rFonts w:hint="eastAsia" w:ascii="宋体" w:hAnsi="宋体" w:eastAsia="宋体" w:cs="宋体"/>
                <w:color w:val="auto"/>
                <w:szCs w:val="21"/>
                <w:lang w:val="en-US" w:eastAsia="zh-CN"/>
              </w:rPr>
              <w:t>的最高得4</w:t>
            </w:r>
            <w:r>
              <w:rPr>
                <w:rFonts w:hint="eastAsia" w:ascii="宋体" w:hAnsi="宋体" w:eastAsia="宋体" w:cs="宋体"/>
                <w:color w:val="auto"/>
                <w:szCs w:val="21"/>
              </w:rPr>
              <w:t>分；</w:t>
            </w:r>
          </w:p>
        </w:tc>
      </w:tr>
      <w:tr w14:paraId="7ABB4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491" w:type="dxa"/>
            <w:tcBorders>
              <w:top w:val="single" w:color="auto" w:sz="4" w:space="0"/>
              <w:bottom w:val="single" w:color="auto" w:sz="4" w:space="0"/>
              <w:right w:val="single" w:color="auto" w:sz="4" w:space="0"/>
            </w:tcBorders>
            <w:noWrap w:val="0"/>
            <w:vAlign w:val="center"/>
          </w:tcPr>
          <w:p w14:paraId="5BB7B56B">
            <w:pPr>
              <w:adjustRightInd w:val="0"/>
              <w:snapToGrid w:val="0"/>
              <w:spacing w:line="400" w:lineRule="exact"/>
              <w:jc w:val="center"/>
              <w:rPr>
                <w:rFonts w:hint="eastAsia" w:ascii="宋体" w:hAnsi="宋体" w:eastAsia="宋体" w:cs="宋体"/>
                <w:bCs/>
                <w:color w:val="auto"/>
                <w:szCs w:val="21"/>
              </w:rPr>
            </w:pPr>
            <w:r>
              <w:rPr>
                <w:rFonts w:hint="eastAsia" w:ascii="宋体" w:hAnsi="宋体" w:eastAsia="宋体" w:cs="宋体"/>
                <w:bCs/>
                <w:color w:val="auto"/>
                <w:szCs w:val="21"/>
              </w:rPr>
              <w:t>6</w:t>
            </w:r>
          </w:p>
        </w:tc>
        <w:tc>
          <w:tcPr>
            <w:tcW w:w="2294" w:type="dxa"/>
            <w:tcBorders>
              <w:top w:val="single" w:color="auto" w:sz="4" w:space="0"/>
              <w:bottom w:val="single" w:color="auto" w:sz="4" w:space="0"/>
              <w:right w:val="single" w:color="auto" w:sz="4" w:space="0"/>
            </w:tcBorders>
            <w:noWrap w:val="0"/>
            <w:vAlign w:val="center"/>
          </w:tcPr>
          <w:p w14:paraId="27D2745E">
            <w:pPr>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color w:val="auto"/>
                <w:szCs w:val="21"/>
              </w:rPr>
              <w:t>文明管理体系与措施</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9208F7E">
            <w:pPr>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分</w:t>
            </w:r>
          </w:p>
        </w:tc>
        <w:tc>
          <w:tcPr>
            <w:tcW w:w="6385" w:type="dxa"/>
            <w:tcBorders>
              <w:top w:val="single" w:color="auto" w:sz="4" w:space="0"/>
              <w:left w:val="single" w:color="auto" w:sz="4" w:space="0"/>
              <w:bottom w:val="single" w:color="auto" w:sz="4" w:space="0"/>
              <w:right w:val="single" w:color="auto" w:sz="4" w:space="0"/>
            </w:tcBorders>
            <w:noWrap w:val="0"/>
            <w:vAlign w:val="top"/>
          </w:tcPr>
          <w:p w14:paraId="40263E6B">
            <w:pPr>
              <w:spacing w:line="400" w:lineRule="exact"/>
              <w:rPr>
                <w:rFonts w:hint="eastAsia" w:ascii="宋体" w:hAnsi="宋体" w:eastAsia="宋体" w:cs="宋体"/>
                <w:color w:val="auto"/>
                <w:szCs w:val="21"/>
              </w:rPr>
            </w:pPr>
            <w:r>
              <w:rPr>
                <w:rFonts w:hint="eastAsia" w:ascii="宋体" w:hAnsi="宋体" w:eastAsia="宋体" w:cs="宋体"/>
                <w:color w:val="auto"/>
                <w:szCs w:val="21"/>
              </w:rPr>
              <w:t>有该项得基本分</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分，缺项不得分，根据体系完整、内容齐全、安排恰当、针对项目实际情况措施可行程度</w:t>
            </w:r>
            <w:r>
              <w:rPr>
                <w:rFonts w:hint="eastAsia" w:ascii="宋体" w:hAnsi="宋体" w:eastAsia="宋体" w:cs="宋体"/>
                <w:color w:val="auto"/>
                <w:szCs w:val="21"/>
                <w:lang w:val="en-US" w:eastAsia="zh-CN"/>
              </w:rPr>
              <w:t>最高</w:t>
            </w:r>
            <w:r>
              <w:rPr>
                <w:rFonts w:hint="eastAsia" w:ascii="宋体" w:hAnsi="宋体" w:eastAsia="宋体" w:cs="宋体"/>
                <w:color w:val="auto"/>
                <w:szCs w:val="21"/>
              </w:rPr>
              <w:t>得</w:t>
            </w:r>
            <w:r>
              <w:rPr>
                <w:rFonts w:hint="eastAsia" w:ascii="宋体" w:hAnsi="宋体" w:eastAsia="宋体" w:cs="宋体"/>
                <w:color w:val="auto"/>
                <w:szCs w:val="21"/>
                <w:lang w:val="en-US" w:eastAsia="zh-CN"/>
              </w:rPr>
              <w:t>4</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tc>
      </w:tr>
      <w:tr w14:paraId="178FD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491" w:type="dxa"/>
            <w:tcBorders>
              <w:top w:val="single" w:color="auto" w:sz="4" w:space="0"/>
              <w:bottom w:val="single" w:color="auto" w:sz="4" w:space="0"/>
              <w:right w:val="single" w:color="auto" w:sz="4" w:space="0"/>
            </w:tcBorders>
            <w:noWrap w:val="0"/>
            <w:vAlign w:val="center"/>
          </w:tcPr>
          <w:p w14:paraId="6401031C">
            <w:pPr>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Cs/>
                <w:color w:val="auto"/>
                <w:szCs w:val="21"/>
              </w:rPr>
              <w:t>7</w:t>
            </w:r>
          </w:p>
        </w:tc>
        <w:tc>
          <w:tcPr>
            <w:tcW w:w="2294" w:type="dxa"/>
            <w:tcBorders>
              <w:top w:val="single" w:color="auto" w:sz="4" w:space="0"/>
              <w:bottom w:val="single" w:color="auto" w:sz="4" w:space="0"/>
              <w:right w:val="single" w:color="auto" w:sz="4" w:space="0"/>
            </w:tcBorders>
            <w:noWrap w:val="0"/>
            <w:vAlign w:val="center"/>
          </w:tcPr>
          <w:p w14:paraId="5152FE16">
            <w:pPr>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color w:val="auto"/>
                <w:szCs w:val="21"/>
              </w:rPr>
              <w:t>资源配备计划及措施</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5D36A1A">
            <w:pPr>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分</w:t>
            </w:r>
          </w:p>
        </w:tc>
        <w:tc>
          <w:tcPr>
            <w:tcW w:w="6385" w:type="dxa"/>
            <w:tcBorders>
              <w:top w:val="single" w:color="auto" w:sz="4" w:space="0"/>
              <w:left w:val="single" w:color="auto" w:sz="4" w:space="0"/>
              <w:bottom w:val="single" w:color="auto" w:sz="4" w:space="0"/>
              <w:right w:val="single" w:color="auto" w:sz="4" w:space="0"/>
            </w:tcBorders>
            <w:noWrap w:val="0"/>
            <w:vAlign w:val="center"/>
          </w:tcPr>
          <w:p w14:paraId="4E634736">
            <w:pPr>
              <w:spacing w:line="400" w:lineRule="exact"/>
              <w:rPr>
                <w:rFonts w:hint="eastAsia" w:ascii="宋体" w:hAnsi="宋体" w:eastAsia="宋体" w:cs="宋体"/>
                <w:color w:val="auto"/>
                <w:szCs w:val="21"/>
              </w:rPr>
            </w:pPr>
            <w:r>
              <w:rPr>
                <w:rFonts w:hint="eastAsia" w:ascii="宋体" w:hAnsi="宋体" w:eastAsia="宋体" w:cs="宋体"/>
                <w:color w:val="auto"/>
                <w:szCs w:val="21"/>
              </w:rPr>
              <w:t>有该项得基本分</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分，缺项不得分，根据内容齐全、安排合理、投入计划与进度计划相呼应、措施可行程度</w:t>
            </w:r>
            <w:r>
              <w:rPr>
                <w:rFonts w:hint="eastAsia" w:ascii="宋体" w:hAnsi="宋体" w:eastAsia="宋体" w:cs="宋体"/>
                <w:color w:val="auto"/>
                <w:szCs w:val="21"/>
                <w:lang w:val="en-US" w:eastAsia="zh-CN"/>
              </w:rPr>
              <w:t>最高得4</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tc>
      </w:tr>
      <w:tr w14:paraId="6C3FD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491" w:type="dxa"/>
            <w:tcBorders>
              <w:top w:val="single" w:color="auto" w:sz="4" w:space="0"/>
              <w:bottom w:val="single" w:color="auto" w:sz="4" w:space="0"/>
              <w:right w:val="single" w:color="auto" w:sz="4" w:space="0"/>
            </w:tcBorders>
            <w:noWrap w:val="0"/>
            <w:vAlign w:val="center"/>
          </w:tcPr>
          <w:p w14:paraId="56265797">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2294" w:type="dxa"/>
            <w:tcBorders>
              <w:top w:val="single" w:color="auto" w:sz="4" w:space="0"/>
              <w:bottom w:val="single" w:color="auto" w:sz="4" w:space="0"/>
              <w:right w:val="single" w:color="auto" w:sz="4" w:space="0"/>
            </w:tcBorders>
            <w:noWrap w:val="0"/>
            <w:vAlign w:val="center"/>
          </w:tcPr>
          <w:p w14:paraId="6D1EF23A">
            <w:pPr>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color w:val="auto"/>
                <w:szCs w:val="21"/>
              </w:rPr>
              <w:t>施工管理及措施</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67DF099">
            <w:pPr>
              <w:adjustRightInd w:val="0"/>
              <w:snapToGrid w:val="0"/>
              <w:spacing w:line="400" w:lineRule="exact"/>
              <w:jc w:val="center"/>
              <w:rPr>
                <w:rFonts w:hint="eastAsia" w:ascii="宋体" w:hAnsi="宋体" w:eastAsia="宋体" w:cs="宋体"/>
                <w:b/>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分</w:t>
            </w:r>
          </w:p>
        </w:tc>
        <w:tc>
          <w:tcPr>
            <w:tcW w:w="6385" w:type="dxa"/>
            <w:tcBorders>
              <w:top w:val="single" w:color="auto" w:sz="4" w:space="0"/>
              <w:left w:val="single" w:color="auto" w:sz="4" w:space="0"/>
              <w:bottom w:val="single" w:color="auto" w:sz="4" w:space="0"/>
              <w:right w:val="single" w:color="auto" w:sz="4" w:space="0"/>
            </w:tcBorders>
            <w:noWrap w:val="0"/>
            <w:vAlign w:val="center"/>
          </w:tcPr>
          <w:p w14:paraId="22DCEC77">
            <w:pPr>
              <w:spacing w:line="400" w:lineRule="exact"/>
              <w:rPr>
                <w:rFonts w:hint="eastAsia" w:ascii="宋体" w:hAnsi="宋体" w:eastAsia="宋体" w:cs="宋体"/>
                <w:color w:val="auto"/>
                <w:szCs w:val="21"/>
              </w:rPr>
            </w:pPr>
            <w:r>
              <w:rPr>
                <w:rFonts w:hint="eastAsia" w:ascii="宋体" w:hAnsi="宋体" w:eastAsia="宋体" w:cs="宋体"/>
                <w:color w:val="auto"/>
                <w:szCs w:val="21"/>
              </w:rPr>
              <w:t>有该项得基本分</w:t>
            </w:r>
            <w:r>
              <w:rPr>
                <w:rFonts w:hint="eastAsia" w:ascii="宋体" w:hAnsi="宋体" w:cs="宋体"/>
                <w:color w:val="auto"/>
                <w:szCs w:val="21"/>
                <w:lang w:val="en-US" w:eastAsia="zh-CN"/>
              </w:rPr>
              <w:t>2</w:t>
            </w:r>
            <w:r>
              <w:rPr>
                <w:rFonts w:hint="eastAsia" w:ascii="宋体" w:hAnsi="宋体" w:eastAsia="宋体" w:cs="宋体"/>
                <w:color w:val="auto"/>
                <w:szCs w:val="21"/>
              </w:rPr>
              <w:t>分，缺项不得分，根据对本工程项目管理的认识，内容齐全、有针对性、对工程现场管理安排合理、符合安全文明生产要求、对工程管理的配合、协调、服务措施可行</w:t>
            </w:r>
            <w:r>
              <w:rPr>
                <w:rFonts w:hint="eastAsia" w:ascii="宋体" w:hAnsi="宋体" w:eastAsia="宋体" w:cs="宋体"/>
                <w:color w:val="auto"/>
                <w:szCs w:val="21"/>
                <w:lang w:val="en-US" w:eastAsia="zh-CN"/>
              </w:rPr>
              <w:t>最高</w:t>
            </w:r>
            <w:r>
              <w:rPr>
                <w:rFonts w:hint="eastAsia" w:ascii="宋体" w:hAnsi="宋体" w:eastAsia="宋体" w:cs="宋体"/>
                <w:color w:val="auto"/>
                <w:szCs w:val="21"/>
              </w:rPr>
              <w:t>得</w:t>
            </w:r>
            <w:r>
              <w:rPr>
                <w:rFonts w:hint="eastAsia" w:ascii="宋体" w:hAnsi="宋体" w:eastAsia="宋体" w:cs="宋体"/>
                <w:color w:val="auto"/>
                <w:szCs w:val="21"/>
                <w:lang w:val="en-US" w:eastAsia="zh-CN"/>
              </w:rPr>
              <w:t>4</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tc>
      </w:tr>
      <w:tr w14:paraId="611FC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2" w:hRule="atLeast"/>
          <w:jc w:val="center"/>
        </w:trPr>
        <w:tc>
          <w:tcPr>
            <w:tcW w:w="491" w:type="dxa"/>
            <w:tcBorders>
              <w:top w:val="single" w:color="auto" w:sz="4" w:space="0"/>
              <w:bottom w:val="single" w:color="auto" w:sz="4" w:space="0"/>
              <w:right w:val="single" w:color="auto" w:sz="4" w:space="0"/>
            </w:tcBorders>
            <w:noWrap w:val="0"/>
            <w:vAlign w:val="center"/>
          </w:tcPr>
          <w:p w14:paraId="036A08DE">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2294" w:type="dxa"/>
            <w:tcBorders>
              <w:top w:val="single" w:color="auto" w:sz="4" w:space="0"/>
              <w:bottom w:val="single" w:color="auto" w:sz="4" w:space="0"/>
              <w:right w:val="single" w:color="auto" w:sz="4" w:space="0"/>
            </w:tcBorders>
            <w:noWrap w:val="0"/>
            <w:vAlign w:val="center"/>
          </w:tcPr>
          <w:p w14:paraId="2E665FFC">
            <w:pPr>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color w:val="auto"/>
                <w:szCs w:val="21"/>
              </w:rPr>
              <w:t>施工关键部位、材料采购要点的控制及措施（根据工程特点及本磋商文件要求应具有针对性）</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E73CFDB">
            <w:pPr>
              <w:adjustRightInd w:val="0"/>
              <w:snapToGrid w:val="0"/>
              <w:spacing w:line="400" w:lineRule="exact"/>
              <w:jc w:val="center"/>
              <w:rPr>
                <w:rFonts w:hint="eastAsia" w:ascii="宋体" w:hAnsi="宋体" w:eastAsia="宋体" w:cs="宋体"/>
                <w:b/>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分</w:t>
            </w:r>
          </w:p>
        </w:tc>
        <w:tc>
          <w:tcPr>
            <w:tcW w:w="6385" w:type="dxa"/>
            <w:tcBorders>
              <w:top w:val="single" w:color="auto" w:sz="4" w:space="0"/>
              <w:left w:val="single" w:color="auto" w:sz="4" w:space="0"/>
              <w:bottom w:val="single" w:color="auto" w:sz="4" w:space="0"/>
              <w:right w:val="single" w:color="auto" w:sz="4" w:space="0"/>
            </w:tcBorders>
            <w:noWrap w:val="0"/>
            <w:vAlign w:val="center"/>
          </w:tcPr>
          <w:p w14:paraId="14C58DF7">
            <w:pPr>
              <w:adjustRightInd w:val="0"/>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有该项得基本分</w:t>
            </w:r>
            <w:r>
              <w:rPr>
                <w:rFonts w:hint="eastAsia" w:ascii="宋体" w:hAnsi="宋体" w:cs="宋体"/>
                <w:color w:val="auto"/>
                <w:szCs w:val="21"/>
                <w:lang w:val="en-US" w:eastAsia="zh-CN"/>
              </w:rPr>
              <w:t>2</w:t>
            </w:r>
            <w:r>
              <w:rPr>
                <w:rFonts w:hint="eastAsia" w:ascii="宋体" w:hAnsi="宋体" w:eastAsia="宋体" w:cs="宋体"/>
                <w:color w:val="auto"/>
                <w:szCs w:val="21"/>
              </w:rPr>
              <w:t>分，缺项不得分，根据针对工程特点内容齐全、安排合理、对施工关键部位分析到位等</w:t>
            </w:r>
            <w:r>
              <w:rPr>
                <w:rFonts w:hint="eastAsia" w:ascii="宋体" w:hAnsi="宋体" w:eastAsia="宋体" w:cs="宋体"/>
                <w:color w:val="auto"/>
                <w:szCs w:val="21"/>
                <w:lang w:val="en-US" w:eastAsia="zh-CN"/>
              </w:rPr>
              <w:t>最高得4</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tc>
      </w:tr>
      <w:tr w14:paraId="0F350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491" w:type="dxa"/>
            <w:tcBorders>
              <w:top w:val="single" w:color="auto" w:sz="4" w:space="0"/>
              <w:bottom w:val="single" w:color="auto" w:sz="4" w:space="0"/>
              <w:right w:val="single" w:color="auto" w:sz="4" w:space="0"/>
            </w:tcBorders>
            <w:noWrap w:val="0"/>
            <w:vAlign w:val="center"/>
          </w:tcPr>
          <w:p w14:paraId="5592CD2D">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2294" w:type="dxa"/>
            <w:tcBorders>
              <w:top w:val="single" w:color="auto" w:sz="4" w:space="0"/>
              <w:bottom w:val="single" w:color="auto" w:sz="4" w:space="0"/>
              <w:right w:val="single" w:color="auto" w:sz="4" w:space="0"/>
            </w:tcBorders>
            <w:noWrap w:val="0"/>
            <w:vAlign w:val="center"/>
          </w:tcPr>
          <w:p w14:paraId="52FED6FB">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扬尘治理措施</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1B1B1A7">
            <w:pPr>
              <w:adjustRightInd w:val="0"/>
              <w:snapToGrid w:val="0"/>
              <w:spacing w:line="400" w:lineRule="exact"/>
              <w:jc w:val="center"/>
              <w:rPr>
                <w:rFonts w:hint="eastAsia" w:ascii="宋体" w:hAnsi="宋体" w:eastAsia="宋体" w:cs="宋体"/>
                <w:b/>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分</w:t>
            </w:r>
          </w:p>
        </w:tc>
        <w:tc>
          <w:tcPr>
            <w:tcW w:w="6385" w:type="dxa"/>
            <w:tcBorders>
              <w:top w:val="single" w:color="auto" w:sz="4" w:space="0"/>
              <w:left w:val="single" w:color="auto" w:sz="4" w:space="0"/>
              <w:bottom w:val="single" w:color="auto" w:sz="4" w:space="0"/>
              <w:right w:val="single" w:color="auto" w:sz="4" w:space="0"/>
            </w:tcBorders>
            <w:noWrap w:val="0"/>
            <w:vAlign w:val="center"/>
          </w:tcPr>
          <w:p w14:paraId="38F85DB1">
            <w:pPr>
              <w:adjustRightInd w:val="0"/>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有该项的基本分</w:t>
            </w:r>
            <w:r>
              <w:rPr>
                <w:rFonts w:hint="eastAsia" w:ascii="宋体" w:hAnsi="宋体" w:cs="宋体"/>
                <w:color w:val="auto"/>
                <w:szCs w:val="21"/>
                <w:lang w:val="en-US" w:eastAsia="zh-CN"/>
              </w:rPr>
              <w:t>2</w:t>
            </w:r>
            <w:r>
              <w:rPr>
                <w:rFonts w:hint="eastAsia" w:ascii="宋体" w:hAnsi="宋体" w:eastAsia="宋体" w:cs="宋体"/>
                <w:color w:val="auto"/>
                <w:szCs w:val="21"/>
              </w:rPr>
              <w:t>分，缺项不得分，根据措施体系完整、内容齐全、安排恰当、针对项目实际情况措施可行程度</w:t>
            </w:r>
            <w:r>
              <w:rPr>
                <w:rFonts w:hint="eastAsia" w:ascii="宋体" w:hAnsi="宋体" w:eastAsia="宋体" w:cs="宋体"/>
                <w:color w:val="auto"/>
                <w:szCs w:val="21"/>
                <w:lang w:val="en-US" w:eastAsia="zh-CN"/>
              </w:rPr>
              <w:t>最高得</w:t>
            </w:r>
            <w:r>
              <w:rPr>
                <w:rFonts w:hint="eastAsia" w:ascii="宋体" w:hAnsi="宋体" w:cs="宋体"/>
                <w:color w:val="auto"/>
                <w:szCs w:val="21"/>
                <w:lang w:val="en-US" w:eastAsia="zh-CN"/>
              </w:rPr>
              <w:t>4</w:t>
            </w:r>
            <w:r>
              <w:rPr>
                <w:rFonts w:hint="eastAsia" w:ascii="宋体" w:hAnsi="宋体" w:eastAsia="宋体" w:cs="宋体"/>
                <w:color w:val="auto"/>
                <w:szCs w:val="21"/>
              </w:rPr>
              <w:t>分。</w:t>
            </w:r>
          </w:p>
        </w:tc>
      </w:tr>
      <w:tr w14:paraId="7F6D4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491" w:type="dxa"/>
            <w:tcBorders>
              <w:top w:val="single" w:color="auto" w:sz="4" w:space="0"/>
              <w:bottom w:val="single" w:color="auto" w:sz="4" w:space="0"/>
              <w:right w:val="single" w:color="auto" w:sz="4" w:space="0"/>
            </w:tcBorders>
            <w:noWrap w:val="0"/>
            <w:vAlign w:val="center"/>
          </w:tcPr>
          <w:p w14:paraId="59A90780">
            <w:pPr>
              <w:adjustRightInd w:val="0"/>
              <w:snapToGrid w:val="0"/>
              <w:spacing w:line="4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三</w:t>
            </w:r>
          </w:p>
        </w:tc>
        <w:tc>
          <w:tcPr>
            <w:tcW w:w="2294" w:type="dxa"/>
            <w:tcBorders>
              <w:top w:val="single" w:color="auto" w:sz="4" w:space="0"/>
              <w:bottom w:val="single" w:color="auto" w:sz="4" w:space="0"/>
              <w:right w:val="single" w:color="auto" w:sz="4" w:space="0"/>
            </w:tcBorders>
            <w:noWrap w:val="0"/>
            <w:vAlign w:val="center"/>
          </w:tcPr>
          <w:p w14:paraId="79D49E13">
            <w:pPr>
              <w:adjustRightInd w:val="0"/>
              <w:snapToGrid w:val="0"/>
              <w:spacing w:line="4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资信</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FF349CA">
            <w:pPr>
              <w:adjustRightInd w:val="0"/>
              <w:snapToGrid w:val="0"/>
              <w:spacing w:line="400" w:lineRule="exact"/>
              <w:jc w:val="center"/>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1</w:t>
            </w:r>
            <w:r>
              <w:rPr>
                <w:rFonts w:hint="eastAsia" w:ascii="宋体" w:hAnsi="宋体" w:cs="宋体"/>
                <w:b/>
                <w:bCs/>
                <w:color w:val="auto"/>
                <w:szCs w:val="21"/>
                <w:lang w:val="en-US" w:eastAsia="zh-CN"/>
              </w:rPr>
              <w:t>0</w:t>
            </w:r>
            <w:r>
              <w:rPr>
                <w:rFonts w:hint="eastAsia" w:ascii="宋体" w:hAnsi="宋体" w:eastAsia="宋体" w:cs="宋体"/>
                <w:b/>
                <w:bCs/>
                <w:color w:val="auto"/>
                <w:szCs w:val="21"/>
              </w:rPr>
              <w:t>分</w:t>
            </w:r>
          </w:p>
        </w:tc>
        <w:tc>
          <w:tcPr>
            <w:tcW w:w="6385" w:type="dxa"/>
            <w:tcBorders>
              <w:top w:val="single" w:color="auto" w:sz="4" w:space="0"/>
              <w:left w:val="single" w:color="auto" w:sz="4" w:space="0"/>
              <w:bottom w:val="single" w:color="auto" w:sz="4" w:space="0"/>
              <w:right w:val="single" w:color="auto" w:sz="4" w:space="0"/>
            </w:tcBorders>
            <w:noWrap w:val="0"/>
            <w:vAlign w:val="center"/>
          </w:tcPr>
          <w:p w14:paraId="6CAF3FA8">
            <w:pPr>
              <w:adjustRightInd w:val="0"/>
              <w:snapToGrid w:val="0"/>
              <w:spacing w:line="400" w:lineRule="exact"/>
              <w:jc w:val="center"/>
              <w:rPr>
                <w:rFonts w:hint="eastAsia" w:ascii="宋体" w:hAnsi="宋体" w:eastAsia="宋体" w:cs="宋体"/>
                <w:b/>
                <w:bCs/>
                <w:color w:val="auto"/>
                <w:szCs w:val="21"/>
              </w:rPr>
            </w:pPr>
          </w:p>
        </w:tc>
      </w:tr>
      <w:tr w14:paraId="2F1A3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491" w:type="dxa"/>
            <w:tcBorders>
              <w:top w:val="single" w:color="auto" w:sz="4" w:space="0"/>
              <w:bottom w:val="single" w:color="auto" w:sz="4" w:space="0"/>
              <w:right w:val="single" w:color="auto" w:sz="4" w:space="0"/>
            </w:tcBorders>
            <w:noWrap w:val="0"/>
            <w:vAlign w:val="center"/>
          </w:tcPr>
          <w:p w14:paraId="34364726">
            <w:pPr>
              <w:adjustRightInd w:val="0"/>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2294" w:type="dxa"/>
            <w:tcBorders>
              <w:top w:val="single" w:color="auto" w:sz="4" w:space="0"/>
              <w:bottom w:val="single" w:color="auto" w:sz="4" w:space="0"/>
              <w:right w:val="single" w:color="auto" w:sz="4" w:space="0"/>
            </w:tcBorders>
            <w:noWrap w:val="0"/>
            <w:vAlign w:val="center"/>
          </w:tcPr>
          <w:p w14:paraId="0520403D">
            <w:pPr>
              <w:widowControl/>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供应商近三年承担的类似工程业绩</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7AF362C">
            <w:pPr>
              <w:adjustRightInd w:val="0"/>
              <w:snapToGrid w:val="0"/>
              <w:spacing w:line="360" w:lineRule="auto"/>
              <w:jc w:val="center"/>
              <w:rPr>
                <w:rFonts w:hint="eastAsia" w:ascii="宋体" w:hAnsi="宋体" w:eastAsia="宋体" w:cs="宋体"/>
                <w:color w:val="auto"/>
                <w:szCs w:val="21"/>
              </w:rPr>
            </w:pPr>
            <w:r>
              <w:rPr>
                <w:rFonts w:hint="eastAsia" w:ascii="宋体" w:hAnsi="宋体" w:cs="宋体"/>
                <w:color w:val="auto"/>
                <w:szCs w:val="21"/>
                <w:lang w:val="en-US" w:eastAsia="zh-CN"/>
              </w:rPr>
              <w:t>10</w:t>
            </w:r>
            <w:r>
              <w:rPr>
                <w:rFonts w:hint="eastAsia" w:ascii="宋体" w:hAnsi="宋体" w:eastAsia="宋体" w:cs="宋体"/>
                <w:color w:val="auto"/>
                <w:szCs w:val="21"/>
              </w:rPr>
              <w:t>分</w:t>
            </w:r>
          </w:p>
        </w:tc>
        <w:tc>
          <w:tcPr>
            <w:tcW w:w="6385" w:type="dxa"/>
            <w:tcBorders>
              <w:top w:val="single" w:color="auto" w:sz="4" w:space="0"/>
              <w:left w:val="single" w:color="auto" w:sz="4" w:space="0"/>
              <w:bottom w:val="single" w:color="auto" w:sz="4" w:space="0"/>
              <w:right w:val="single" w:color="auto" w:sz="4" w:space="0"/>
            </w:tcBorders>
            <w:noWrap w:val="0"/>
            <w:vAlign w:val="center"/>
          </w:tcPr>
          <w:p w14:paraId="35EA88DD">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lang w:eastAsia="zh-CN"/>
              </w:rPr>
              <w:t>20</w:t>
            </w: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2</w:t>
            </w:r>
            <w:r>
              <w:rPr>
                <w:rFonts w:hint="eastAsia" w:ascii="宋体" w:hAnsi="宋体" w:eastAsia="宋体" w:cs="宋体"/>
                <w:color w:val="auto"/>
                <w:szCs w:val="21"/>
              </w:rPr>
              <w:t>年1 月1 日以来承担的类似工程业绩每项得</w:t>
            </w:r>
            <w:r>
              <w:rPr>
                <w:rFonts w:hint="eastAsia" w:ascii="宋体" w:hAnsi="宋体" w:cs="宋体"/>
                <w:color w:val="auto"/>
                <w:szCs w:val="21"/>
                <w:lang w:val="en-US" w:eastAsia="zh-CN"/>
              </w:rPr>
              <w:t>2.5</w:t>
            </w:r>
            <w:r>
              <w:rPr>
                <w:rFonts w:hint="eastAsia" w:ascii="宋体" w:hAnsi="宋体" w:eastAsia="宋体" w:cs="宋体"/>
                <w:color w:val="auto"/>
                <w:szCs w:val="21"/>
              </w:rPr>
              <w:t>分，满分</w:t>
            </w:r>
            <w:r>
              <w:rPr>
                <w:rFonts w:hint="eastAsia" w:ascii="宋体" w:hAnsi="宋体" w:cs="宋体"/>
                <w:color w:val="auto"/>
                <w:szCs w:val="21"/>
                <w:lang w:val="en-US" w:eastAsia="zh-CN"/>
              </w:rPr>
              <w:t>10</w:t>
            </w:r>
            <w:r>
              <w:rPr>
                <w:rFonts w:hint="eastAsia" w:ascii="宋体" w:hAnsi="宋体" w:eastAsia="宋体" w:cs="宋体"/>
                <w:color w:val="auto"/>
                <w:szCs w:val="21"/>
              </w:rPr>
              <w:t>分。</w:t>
            </w:r>
          </w:p>
          <w:p w14:paraId="443AC2DD">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备注：①类似项目工程以施工合同原件和</w:t>
            </w:r>
            <w:r>
              <w:rPr>
                <w:rFonts w:hint="eastAsia" w:ascii="宋体" w:hAnsi="宋体" w:cs="宋体"/>
                <w:color w:val="auto"/>
                <w:szCs w:val="21"/>
                <w:lang w:val="en-US" w:eastAsia="zh-CN"/>
              </w:rPr>
              <w:t>成交（中标）通知书</w:t>
            </w:r>
            <w:r>
              <w:rPr>
                <w:rFonts w:hint="eastAsia" w:ascii="宋体" w:hAnsi="宋体" w:eastAsia="宋体" w:cs="宋体"/>
                <w:color w:val="auto"/>
                <w:szCs w:val="21"/>
              </w:rPr>
              <w:t>为准，二者缺一不可；时间以</w:t>
            </w:r>
            <w:r>
              <w:rPr>
                <w:rFonts w:hint="eastAsia" w:ascii="宋体" w:hAnsi="宋体" w:cs="宋体"/>
                <w:color w:val="auto"/>
                <w:szCs w:val="21"/>
                <w:lang w:val="en-US" w:eastAsia="zh-CN"/>
              </w:rPr>
              <w:t>合同</w:t>
            </w:r>
            <w:r>
              <w:rPr>
                <w:rFonts w:hint="eastAsia" w:ascii="宋体" w:hAnsi="宋体" w:eastAsia="宋体" w:cs="宋体"/>
                <w:color w:val="auto"/>
                <w:szCs w:val="21"/>
              </w:rPr>
              <w:t>签订的时间为准；类似工程业绩</w:t>
            </w:r>
            <w:r>
              <w:rPr>
                <w:rFonts w:hint="eastAsia" w:ascii="宋体" w:hAnsi="宋体" w:eastAsia="宋体" w:cs="宋体"/>
                <w:color w:val="auto"/>
                <w:szCs w:val="21"/>
                <w:lang w:eastAsia="zh-CN"/>
              </w:rPr>
              <w:t>指</w:t>
            </w:r>
            <w:r>
              <w:rPr>
                <w:rFonts w:hint="eastAsia" w:ascii="宋体" w:hAnsi="宋体" w:eastAsia="宋体" w:cs="宋体"/>
                <w:color w:val="auto"/>
                <w:szCs w:val="21"/>
              </w:rPr>
              <w:t>：</w:t>
            </w:r>
            <w:r>
              <w:rPr>
                <w:rFonts w:hint="eastAsia" w:ascii="宋体" w:hAnsi="宋体" w:cs="宋体"/>
                <w:color w:val="auto"/>
                <w:szCs w:val="21"/>
                <w:lang w:eastAsia="zh-CN"/>
              </w:rPr>
              <w:t>建筑工程</w:t>
            </w:r>
            <w:r>
              <w:rPr>
                <w:rFonts w:hint="eastAsia" w:ascii="宋体" w:hAnsi="宋体" w:cs="宋体"/>
                <w:color w:val="auto"/>
                <w:szCs w:val="21"/>
                <w:lang w:val="en-US" w:eastAsia="zh-CN"/>
              </w:rPr>
              <w:t>或市政公用工程</w:t>
            </w:r>
            <w:r>
              <w:rPr>
                <w:rFonts w:hint="eastAsia" w:ascii="宋体" w:hAnsi="宋体" w:eastAsia="宋体" w:cs="宋体"/>
                <w:color w:val="auto"/>
                <w:szCs w:val="21"/>
              </w:rPr>
              <w:t>；②磋商响应文件中须附该打分项涉及的施工合同和</w:t>
            </w:r>
            <w:r>
              <w:rPr>
                <w:rFonts w:hint="eastAsia" w:ascii="宋体" w:hAnsi="宋体" w:cs="宋体"/>
                <w:color w:val="auto"/>
                <w:szCs w:val="21"/>
                <w:lang w:val="en-US" w:eastAsia="zh-CN"/>
              </w:rPr>
              <w:t>成交（中标）通知书</w:t>
            </w:r>
            <w:r>
              <w:rPr>
                <w:rFonts w:hint="eastAsia" w:ascii="宋体" w:hAnsi="宋体" w:eastAsia="宋体" w:cs="宋体"/>
                <w:color w:val="auto"/>
                <w:szCs w:val="21"/>
              </w:rPr>
              <w:t>等复印件，否则不予认可。</w:t>
            </w:r>
          </w:p>
        </w:tc>
      </w:tr>
    </w:tbl>
    <w:p w14:paraId="68FEF587">
      <w:pPr>
        <w:wordWrap w:val="0"/>
        <w:topLinePunct/>
        <w:adjustRightInd w:val="0"/>
        <w:snapToGrid w:val="0"/>
        <w:spacing w:line="360" w:lineRule="auto"/>
        <w:ind w:firstLine="482" w:firstLineChars="200"/>
        <w:jc w:val="left"/>
        <w:rPr>
          <w:rFonts w:hint="eastAsia" w:ascii="宋体" w:hAnsi="宋体" w:eastAsia="宋体" w:cs="宋体"/>
          <w:b/>
          <w:color w:val="auto"/>
          <w:szCs w:val="21"/>
          <w:highlight w:val="none"/>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bCs/>
          <w:color w:val="auto"/>
          <w:szCs w:val="21"/>
          <w:highlight w:val="none"/>
        </w:rPr>
        <w:t>总得分相同者，按最终报价低的名次在前；最终报价也相同的，施工组织设计总得分高者排名优先；施工</w:t>
      </w:r>
      <w:r>
        <w:rPr>
          <w:rFonts w:hint="eastAsia" w:ascii="宋体" w:hAnsi="宋体" w:eastAsia="宋体" w:cs="宋体"/>
          <w:b/>
          <w:color w:val="auto"/>
          <w:szCs w:val="21"/>
          <w:highlight w:val="none"/>
        </w:rPr>
        <w:t>组织设计总得分也相同的，</w:t>
      </w:r>
      <w:r>
        <w:rPr>
          <w:rFonts w:hint="eastAsia" w:ascii="宋体" w:hAnsi="宋体" w:eastAsia="宋体" w:cs="宋体"/>
          <w:b/>
          <w:color w:val="auto"/>
          <w:szCs w:val="21"/>
          <w:highlight w:val="none"/>
          <w:lang w:eastAsia="zh-CN"/>
        </w:rPr>
        <w:t>资信总得分</w:t>
      </w:r>
      <w:r>
        <w:rPr>
          <w:rFonts w:hint="eastAsia" w:ascii="宋体" w:hAnsi="宋体" w:eastAsia="宋体" w:cs="宋体"/>
          <w:b/>
          <w:bCs/>
          <w:color w:val="auto"/>
          <w:szCs w:val="21"/>
          <w:highlight w:val="none"/>
        </w:rPr>
        <w:t>高者排名优先；</w:t>
      </w:r>
      <w:r>
        <w:rPr>
          <w:rFonts w:hint="eastAsia" w:ascii="宋体" w:hAnsi="宋体" w:eastAsia="宋体" w:cs="宋体"/>
          <w:b/>
          <w:bCs/>
          <w:color w:val="auto"/>
          <w:szCs w:val="21"/>
          <w:highlight w:val="none"/>
          <w:lang w:eastAsia="zh-CN"/>
        </w:rPr>
        <w:t>资信</w:t>
      </w:r>
      <w:r>
        <w:rPr>
          <w:rFonts w:hint="eastAsia" w:ascii="宋体" w:hAnsi="宋体" w:eastAsia="宋体" w:cs="宋体"/>
          <w:b/>
          <w:color w:val="auto"/>
          <w:szCs w:val="21"/>
          <w:highlight w:val="none"/>
        </w:rPr>
        <w:t>总得分也相同的</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采购人按响应文件递交顺序排名。</w:t>
      </w:r>
    </w:p>
    <w:p w14:paraId="7C5193E5">
      <w:pPr>
        <w:wordWrap w:val="0"/>
        <w:topLinePunct/>
        <w:adjustRightInd w:val="0"/>
        <w:snapToGrid w:val="0"/>
        <w:spacing w:line="360" w:lineRule="auto"/>
        <w:ind w:firstLine="422" w:firstLineChars="200"/>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2、评分分值计算保留小数点后两位，小数点后第三位“四舍五入”。</w:t>
      </w:r>
    </w:p>
    <w:p w14:paraId="4A135547">
      <w:pPr>
        <w:wordWrap w:val="0"/>
        <w:topLinePunct/>
        <w:adjustRightInd w:val="0"/>
        <w:snapToGrid w:val="0"/>
        <w:spacing w:line="360" w:lineRule="auto"/>
        <w:jc w:val="left"/>
        <w:outlineLvl w:val="1"/>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四、成交通知书</w:t>
      </w:r>
    </w:p>
    <w:p w14:paraId="7B29DCC8">
      <w:pPr>
        <w:wordWrap w:val="0"/>
        <w:topLinePunct/>
        <w:adjustRightInd w:val="0"/>
        <w:snapToGrid w:val="0"/>
        <w:spacing w:line="360" w:lineRule="auto"/>
        <w:ind w:firstLine="42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t>成交结果公示结束无异议后，采购人向成交供应商签发《成交通知书》。</w:t>
      </w:r>
    </w:p>
    <w:bookmarkEnd w:id="16"/>
    <w:bookmarkEnd w:id="17"/>
    <w:p w14:paraId="5491257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第四部分  采购内容</w:t>
      </w:r>
      <w:bookmarkEnd w:id="18"/>
      <w:bookmarkEnd w:id="19"/>
      <w:bookmarkEnd w:id="20"/>
      <w:bookmarkEnd w:id="21"/>
      <w:bookmarkEnd w:id="22"/>
    </w:p>
    <w:p w14:paraId="4427516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一、采购内容</w:t>
      </w:r>
    </w:p>
    <w:p w14:paraId="396B7E4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outlineLvl w:val="1"/>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邹城市石墙镇江庄村市级和美乡村示范村建设工程</w:t>
      </w:r>
      <w:r>
        <w:rPr>
          <w:rFonts w:hint="eastAsia" w:ascii="宋体" w:hAnsi="宋体" w:eastAsia="宋体" w:cs="宋体"/>
          <w:b w:val="0"/>
          <w:bCs/>
          <w:color w:val="auto"/>
          <w:sz w:val="24"/>
          <w:szCs w:val="24"/>
          <w:highlight w:val="none"/>
          <w:lang w:eastAsia="zh-CN"/>
        </w:rPr>
        <w:t>，主要包括</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护坡砌筑、石砌围栏</w:t>
      </w:r>
      <w:r>
        <w:rPr>
          <w:rFonts w:hint="eastAsia" w:ascii="宋体" w:hAnsi="宋体" w:eastAsia="宋体" w:cs="宋体"/>
          <w:b w:val="0"/>
          <w:bCs/>
          <w:color w:val="auto"/>
          <w:sz w:val="24"/>
          <w:szCs w:val="24"/>
          <w:highlight w:val="none"/>
          <w:lang w:val="en-US" w:eastAsia="zh-CN"/>
        </w:rPr>
        <w:t>等工程</w:t>
      </w:r>
      <w:r>
        <w:rPr>
          <w:rFonts w:hint="eastAsia" w:ascii="宋体" w:hAnsi="宋体" w:eastAsia="宋体" w:cs="宋体"/>
          <w:b w:val="0"/>
          <w:bCs w:val="0"/>
          <w:color w:val="auto"/>
          <w:sz w:val="24"/>
          <w:szCs w:val="24"/>
          <w:highlight w:val="none"/>
          <w:u w:val="none"/>
          <w:lang w:val="en-US" w:eastAsia="zh-CN"/>
        </w:rPr>
        <w:t>内容</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具体内容详见</w:t>
      </w:r>
      <w:r>
        <w:rPr>
          <w:rFonts w:hint="eastAsia" w:ascii="宋体" w:hAnsi="宋体" w:eastAsia="宋体" w:cs="宋体"/>
          <w:b w:val="0"/>
          <w:bCs/>
          <w:color w:val="auto"/>
          <w:sz w:val="24"/>
          <w:szCs w:val="24"/>
          <w:highlight w:val="none"/>
          <w:lang w:eastAsia="zh-CN"/>
        </w:rPr>
        <w:t>采购预算（控制价）</w:t>
      </w:r>
      <w:r>
        <w:rPr>
          <w:rFonts w:hint="eastAsia" w:ascii="宋体" w:hAnsi="宋体" w:eastAsia="宋体" w:cs="宋体"/>
          <w:b w:val="0"/>
          <w:bCs/>
          <w:color w:val="auto"/>
          <w:sz w:val="24"/>
          <w:szCs w:val="24"/>
          <w:highlight w:val="none"/>
          <w:lang w:val="en-US" w:eastAsia="zh-CN"/>
        </w:rPr>
        <w:t>。</w:t>
      </w:r>
    </w:p>
    <w:p w14:paraId="5272FC3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outlineLvl w:val="1"/>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二、其他要求</w:t>
      </w:r>
    </w:p>
    <w:p w14:paraId="5E7DF92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b w:val="0"/>
          <w:bCs/>
          <w:color w:val="auto"/>
          <w:sz w:val="24"/>
          <w:szCs w:val="24"/>
          <w:highlight w:val="none"/>
        </w:rPr>
      </w:pPr>
      <w:bookmarkStart w:id="23" w:name="_Toc16480"/>
      <w:bookmarkStart w:id="24" w:name="_Toc1352"/>
      <w:bookmarkStart w:id="25" w:name="_Toc24173"/>
      <w:bookmarkStart w:id="26" w:name="_Toc30448"/>
      <w:bookmarkStart w:id="27" w:name="_Toc22583"/>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kern w:val="0"/>
          <w:sz w:val="24"/>
          <w:szCs w:val="24"/>
          <w:highlight w:val="none"/>
          <w:lang w:val="en-US" w:eastAsia="zh-CN"/>
        </w:rPr>
        <w:t>一</w:t>
      </w:r>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sz w:val="24"/>
          <w:szCs w:val="24"/>
          <w:highlight w:val="none"/>
        </w:rPr>
        <w:t>建设地点：</w:t>
      </w:r>
      <w:r>
        <w:rPr>
          <w:rFonts w:hint="eastAsia" w:ascii="宋体" w:hAnsi="宋体" w:eastAsia="宋体" w:cs="宋体"/>
          <w:b w:val="0"/>
          <w:bCs/>
          <w:color w:val="auto"/>
          <w:sz w:val="24"/>
          <w:szCs w:val="24"/>
          <w:highlight w:val="none"/>
          <w:u w:val="single"/>
          <w:lang w:eastAsia="zh-CN"/>
        </w:rPr>
        <w:t>邹城市石墙镇</w:t>
      </w:r>
    </w:p>
    <w:p w14:paraId="798E643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kern w:val="0"/>
          <w:sz w:val="24"/>
          <w:szCs w:val="24"/>
          <w:highlight w:val="none"/>
          <w:lang w:val="en-US" w:eastAsia="zh-CN"/>
        </w:rPr>
        <w:t>二</w:t>
      </w:r>
      <w:r>
        <w:rPr>
          <w:rFonts w:hint="eastAsia" w:ascii="宋体" w:hAnsi="宋体" w:eastAsia="宋体" w:cs="宋体"/>
          <w:b w:val="0"/>
          <w:bCs/>
          <w:color w:val="auto"/>
          <w:kern w:val="0"/>
          <w:sz w:val="24"/>
          <w:szCs w:val="24"/>
          <w:highlight w:val="none"/>
        </w:rPr>
        <w:t>）建设规模：本次磋商项目总投资</w:t>
      </w:r>
      <w:r>
        <w:rPr>
          <w:rFonts w:hint="eastAsia" w:ascii="宋体" w:hAnsi="宋体" w:cs="宋体"/>
          <w:b w:val="0"/>
          <w:bCs/>
          <w:color w:val="auto"/>
          <w:kern w:val="0"/>
          <w:sz w:val="24"/>
          <w:szCs w:val="24"/>
          <w:highlight w:val="none"/>
          <w:u w:val="single"/>
          <w:lang w:val="en-US" w:eastAsia="zh-CN"/>
        </w:rPr>
        <w:t>458357.00</w:t>
      </w:r>
      <w:r>
        <w:rPr>
          <w:rFonts w:hint="eastAsia" w:ascii="宋体" w:hAnsi="宋体" w:eastAsia="宋体" w:cs="宋体"/>
          <w:b w:val="0"/>
          <w:bCs/>
          <w:color w:val="auto"/>
          <w:kern w:val="0"/>
          <w:sz w:val="24"/>
          <w:szCs w:val="24"/>
          <w:highlight w:val="none"/>
          <w:u w:val="single"/>
        </w:rPr>
        <w:t>元</w:t>
      </w:r>
      <w:r>
        <w:rPr>
          <w:rFonts w:hint="eastAsia" w:ascii="宋体" w:hAnsi="宋体" w:eastAsia="宋体" w:cs="宋体"/>
          <w:b w:val="0"/>
          <w:bCs/>
          <w:color w:val="auto"/>
          <w:kern w:val="0"/>
          <w:sz w:val="24"/>
          <w:szCs w:val="24"/>
          <w:highlight w:val="none"/>
        </w:rPr>
        <w:t>。</w:t>
      </w:r>
    </w:p>
    <w:p w14:paraId="49ACF0E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rPr>
        <w:t>）计划工期：</w:t>
      </w:r>
      <w:r>
        <w:rPr>
          <w:rFonts w:hint="eastAsia" w:ascii="宋体" w:hAnsi="宋体" w:cs="宋体"/>
          <w:b w:val="0"/>
          <w:bCs/>
          <w:color w:val="auto"/>
          <w:sz w:val="24"/>
          <w:szCs w:val="24"/>
          <w:highlight w:val="none"/>
          <w:u w:val="single"/>
          <w:lang w:val="en-US" w:eastAsia="zh-CN"/>
        </w:rPr>
        <w:t>30</w:t>
      </w:r>
      <w:r>
        <w:rPr>
          <w:rFonts w:hint="eastAsia" w:ascii="宋体" w:hAnsi="宋体" w:eastAsia="宋体" w:cs="宋体"/>
          <w:b w:val="0"/>
          <w:bCs/>
          <w:color w:val="auto"/>
          <w:sz w:val="24"/>
          <w:szCs w:val="24"/>
          <w:highlight w:val="none"/>
          <w:u w:val="single"/>
          <w:lang w:val="en-US" w:eastAsia="zh-CN"/>
        </w:rPr>
        <w:t>日历天</w:t>
      </w:r>
      <w:r>
        <w:rPr>
          <w:rFonts w:hint="eastAsia" w:ascii="宋体" w:hAnsi="宋体" w:eastAsia="宋体" w:cs="宋体"/>
          <w:b w:val="0"/>
          <w:bCs/>
          <w:color w:val="auto"/>
          <w:sz w:val="24"/>
          <w:szCs w:val="24"/>
          <w:highlight w:val="none"/>
        </w:rPr>
        <w:t>。</w:t>
      </w:r>
    </w:p>
    <w:p w14:paraId="34C32A9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）质量要求：</w:t>
      </w:r>
      <w:r>
        <w:rPr>
          <w:rFonts w:hint="eastAsia" w:ascii="宋体" w:hAnsi="宋体" w:eastAsia="宋体" w:cs="宋体"/>
          <w:b w:val="0"/>
          <w:bCs/>
          <w:color w:val="auto"/>
          <w:sz w:val="24"/>
          <w:szCs w:val="24"/>
          <w:highlight w:val="none"/>
          <w:u w:val="single"/>
        </w:rPr>
        <w:t>合格</w:t>
      </w:r>
      <w:r>
        <w:rPr>
          <w:rFonts w:hint="eastAsia" w:ascii="宋体" w:hAnsi="宋体" w:eastAsia="宋体" w:cs="宋体"/>
          <w:b w:val="0"/>
          <w:bCs/>
          <w:color w:val="auto"/>
          <w:sz w:val="24"/>
          <w:szCs w:val="24"/>
          <w:highlight w:val="none"/>
        </w:rPr>
        <w:t>。</w:t>
      </w:r>
    </w:p>
    <w:p w14:paraId="37229D2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）质保期：</w:t>
      </w:r>
      <w:r>
        <w:rPr>
          <w:rFonts w:hint="eastAsia" w:ascii="宋体" w:hAnsi="宋体" w:eastAsia="宋体" w:cs="宋体"/>
          <w:b w:val="0"/>
          <w:bCs/>
          <w:color w:val="auto"/>
          <w:sz w:val="24"/>
          <w:szCs w:val="24"/>
          <w:highlight w:val="none"/>
          <w:u w:val="single"/>
          <w:lang w:val="en-US" w:eastAsia="zh-CN"/>
        </w:rPr>
        <w:t>两年</w:t>
      </w:r>
      <w:r>
        <w:rPr>
          <w:rFonts w:hint="eastAsia" w:ascii="宋体" w:hAnsi="宋体" w:eastAsia="宋体" w:cs="宋体"/>
          <w:b w:val="0"/>
          <w:bCs/>
          <w:color w:val="auto"/>
          <w:sz w:val="24"/>
          <w:szCs w:val="24"/>
          <w:highlight w:val="none"/>
        </w:rPr>
        <w:t>。</w:t>
      </w:r>
    </w:p>
    <w:p w14:paraId="324F528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color w:val="auto"/>
          <w:sz w:val="32"/>
          <w:szCs w:val="32"/>
          <w:highlight w:val="none"/>
        </w:rPr>
      </w:pPr>
    </w:p>
    <w:p w14:paraId="7A31889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color w:val="auto"/>
          <w:sz w:val="32"/>
          <w:szCs w:val="32"/>
          <w:highlight w:val="none"/>
        </w:rPr>
      </w:pPr>
    </w:p>
    <w:p w14:paraId="4DE5534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color w:val="auto"/>
          <w:sz w:val="32"/>
          <w:szCs w:val="32"/>
          <w:highlight w:val="none"/>
        </w:rPr>
      </w:pPr>
    </w:p>
    <w:p w14:paraId="38C9C87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color w:val="auto"/>
          <w:sz w:val="32"/>
          <w:szCs w:val="32"/>
          <w:highlight w:val="none"/>
        </w:rPr>
      </w:pPr>
    </w:p>
    <w:p w14:paraId="7003DCE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color w:val="auto"/>
          <w:sz w:val="32"/>
          <w:szCs w:val="32"/>
          <w:highlight w:val="none"/>
        </w:rPr>
      </w:pPr>
    </w:p>
    <w:p w14:paraId="29F5906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color w:val="auto"/>
          <w:sz w:val="32"/>
          <w:szCs w:val="32"/>
          <w:highlight w:val="none"/>
        </w:rPr>
      </w:pPr>
    </w:p>
    <w:p w14:paraId="3BBE5D4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color w:val="auto"/>
          <w:sz w:val="32"/>
          <w:szCs w:val="32"/>
          <w:highlight w:val="none"/>
        </w:rPr>
      </w:pPr>
    </w:p>
    <w:p w14:paraId="438594F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color w:val="auto"/>
          <w:sz w:val="32"/>
          <w:szCs w:val="32"/>
          <w:highlight w:val="none"/>
        </w:rPr>
      </w:pPr>
    </w:p>
    <w:p w14:paraId="12CC127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color w:val="auto"/>
          <w:sz w:val="32"/>
          <w:szCs w:val="32"/>
          <w:highlight w:val="none"/>
        </w:rPr>
      </w:pPr>
    </w:p>
    <w:p w14:paraId="1DE4AB4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color w:val="auto"/>
          <w:sz w:val="32"/>
          <w:szCs w:val="32"/>
          <w:highlight w:val="none"/>
        </w:rPr>
      </w:pPr>
    </w:p>
    <w:p w14:paraId="3896B0A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color w:val="auto"/>
          <w:sz w:val="32"/>
          <w:szCs w:val="32"/>
          <w:highlight w:val="none"/>
        </w:rPr>
      </w:pPr>
    </w:p>
    <w:p w14:paraId="611CC91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color w:val="auto"/>
          <w:sz w:val="32"/>
          <w:szCs w:val="32"/>
          <w:highlight w:val="none"/>
        </w:rPr>
      </w:pPr>
    </w:p>
    <w:p w14:paraId="3A3DEF2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color w:val="auto"/>
          <w:sz w:val="32"/>
          <w:szCs w:val="32"/>
          <w:highlight w:val="none"/>
        </w:rPr>
      </w:pPr>
    </w:p>
    <w:p w14:paraId="13AA2C0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0"/>
        <w:rPr>
          <w:rFonts w:hint="eastAsia" w:ascii="宋体" w:hAnsi="宋体" w:eastAsia="宋体" w:cs="宋体"/>
          <w:b/>
          <w:color w:val="auto"/>
          <w:sz w:val="32"/>
          <w:szCs w:val="32"/>
          <w:highlight w:val="none"/>
        </w:rPr>
      </w:pPr>
      <w:bookmarkStart w:id="28" w:name="_Toc3918"/>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第五部分  合同授予</w:t>
      </w:r>
      <w:bookmarkEnd w:id="23"/>
      <w:bookmarkEnd w:id="24"/>
      <w:bookmarkEnd w:id="25"/>
      <w:bookmarkEnd w:id="26"/>
      <w:bookmarkEnd w:id="28"/>
    </w:p>
    <w:bookmarkEnd w:id="27"/>
    <w:p w14:paraId="1F5F436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一、签订合同</w:t>
      </w:r>
      <w:r>
        <w:rPr>
          <w:rFonts w:hint="eastAsia" w:ascii="宋体" w:hAnsi="宋体" w:eastAsia="宋体" w:cs="宋体"/>
          <w:b/>
          <w:bCs/>
          <w:color w:val="auto"/>
          <w:kern w:val="0"/>
          <w:szCs w:val="21"/>
          <w:highlight w:val="none"/>
          <w:lang w:eastAsia="zh-CN"/>
        </w:rPr>
        <w:t>：</w:t>
      </w:r>
    </w:p>
    <w:p w14:paraId="4A9B84B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磋商结果公示结束后发出成交通知书，成交通知书发出</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个工作日内，由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和成交供应商完成合同签订，否则视为成交供应商自动放弃成交资格，合同签订的内容不能超出磋商文件、成交供应商的响应文件、</w:t>
      </w:r>
      <w:r>
        <w:rPr>
          <w:rFonts w:hint="eastAsia" w:ascii="宋体" w:hAnsi="宋体" w:eastAsia="宋体" w:cs="宋体"/>
          <w:bCs/>
          <w:color w:val="auto"/>
          <w:szCs w:val="21"/>
          <w:highlight w:val="none"/>
        </w:rPr>
        <w:t>磋商</w:t>
      </w:r>
      <w:r>
        <w:rPr>
          <w:rFonts w:hint="eastAsia" w:ascii="宋体" w:hAnsi="宋体" w:eastAsia="宋体" w:cs="宋体"/>
          <w:color w:val="auto"/>
          <w:kern w:val="0"/>
          <w:szCs w:val="21"/>
          <w:highlight w:val="none"/>
        </w:rPr>
        <w:t>过程中的补充承诺、最终书面报价等的实质性内容。因供应商原因不能与</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签订合同的，视为供应商放弃成交资格。</w:t>
      </w:r>
    </w:p>
    <w:p w14:paraId="3BE47BA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二、合同格式</w:t>
      </w:r>
      <w:r>
        <w:rPr>
          <w:rFonts w:hint="eastAsia" w:ascii="宋体" w:hAnsi="宋体" w:eastAsia="宋体" w:cs="宋体"/>
          <w:b/>
          <w:bCs/>
          <w:color w:val="auto"/>
          <w:szCs w:val="21"/>
          <w:highlight w:val="none"/>
          <w:lang w:eastAsia="zh-CN"/>
        </w:rPr>
        <w:t>：</w:t>
      </w:r>
    </w:p>
    <w:p w14:paraId="7F93B6D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本合同格式为参考格式，具体内容以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和成交供应商双方最终协商确定的为准。</w:t>
      </w:r>
    </w:p>
    <w:p w14:paraId="2849EED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合同格式中的甲方系指</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，乙方系指成交供应商。</w:t>
      </w:r>
    </w:p>
    <w:p w14:paraId="5AC2AA2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2"/>
          <w:szCs w:val="32"/>
          <w:highlight w:val="none"/>
          <w:lang w:eastAsia="zh-CN"/>
        </w:rPr>
        <w:t>合同协议书</w:t>
      </w:r>
    </w:p>
    <w:p w14:paraId="6FCE08B1">
      <w:pPr>
        <w:keepNext w:val="0"/>
        <w:keepLines w:val="0"/>
        <w:pageBreakBefore w:val="0"/>
        <w:widowControl w:val="0"/>
        <w:kinsoku/>
        <w:wordWrap w:val="0"/>
        <w:overflowPunct/>
        <w:topLinePunct/>
        <w:autoSpaceDE/>
        <w:autoSpaceDN/>
        <w:bidi w:val="0"/>
        <w:adjustRightInd w:val="0"/>
        <w:snapToGrid w:val="0"/>
        <w:spacing w:line="360" w:lineRule="auto"/>
        <w:ind w:right="0" w:rightChars="0"/>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rPr>
        <w:t>合同双方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u w:val="single"/>
          <w:lang w:eastAsia="zh-CN"/>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eastAsia="zh-CN"/>
        </w:rPr>
        <w:t xml:space="preserve">                </w:t>
      </w:r>
    </w:p>
    <w:p w14:paraId="58FC8691">
      <w:pPr>
        <w:keepNext w:val="0"/>
        <w:keepLines w:val="0"/>
        <w:pageBreakBefore w:val="0"/>
        <w:widowControl w:val="0"/>
        <w:kinsoku/>
        <w:wordWrap w:val="0"/>
        <w:overflowPunct/>
        <w:topLinePunct/>
        <w:autoSpaceDE/>
        <w:autoSpaceDN/>
        <w:bidi w:val="0"/>
        <w:adjustRightInd w:val="0"/>
        <w:snapToGrid w:val="0"/>
        <w:spacing w:line="360" w:lineRule="auto"/>
        <w:ind w:right="0" w:rightChars="0" w:firstLine="1054" w:firstLineChars="500"/>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rPr>
        <w:t>（乙方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u w:val="single"/>
          <w:lang w:eastAsia="zh-CN"/>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eastAsia="zh-CN"/>
        </w:rPr>
        <w:t xml:space="preserve">               </w:t>
      </w:r>
    </w:p>
    <w:p w14:paraId="3A3EAF4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经竞标确定由乙方成交人，为确保工程顺利完成，现就工程施工有关事宜双方协商达成如下协议。</w:t>
      </w:r>
    </w:p>
    <w:p w14:paraId="11E2217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一、工程概况</w:t>
      </w:r>
      <w:r>
        <w:rPr>
          <w:rFonts w:hint="eastAsia" w:ascii="宋体" w:hAnsi="宋体" w:eastAsia="宋体" w:cs="宋体"/>
          <w:b/>
          <w:bCs/>
          <w:color w:val="auto"/>
          <w:sz w:val="21"/>
          <w:szCs w:val="21"/>
          <w:highlight w:val="none"/>
          <w:lang w:eastAsia="zh-CN"/>
        </w:rPr>
        <w:t>：</w:t>
      </w:r>
    </w:p>
    <w:p w14:paraId="09EDF2C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1、工程名称：</w:t>
      </w:r>
      <w:r>
        <w:rPr>
          <w:rFonts w:hint="eastAsia" w:ascii="宋体" w:hAnsi="宋体" w:eastAsia="宋体" w:cs="宋体"/>
          <w:color w:val="auto"/>
          <w:sz w:val="21"/>
          <w:szCs w:val="21"/>
          <w:highlight w:val="none"/>
          <w:u w:val="single"/>
          <w:lang w:val="en-US" w:eastAsia="zh-CN"/>
        </w:rPr>
        <w:t xml:space="preserve">                                                   </w:t>
      </w:r>
    </w:p>
    <w:p w14:paraId="13D6857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2、工程地点：</w:t>
      </w:r>
      <w:r>
        <w:rPr>
          <w:rFonts w:hint="eastAsia" w:ascii="宋体" w:hAnsi="宋体" w:eastAsia="宋体" w:cs="宋体"/>
          <w:color w:val="auto"/>
          <w:sz w:val="21"/>
          <w:szCs w:val="21"/>
          <w:highlight w:val="none"/>
          <w:u w:val="single"/>
          <w:lang w:val="en-US" w:eastAsia="zh-CN"/>
        </w:rPr>
        <w:t xml:space="preserve">                                                   </w:t>
      </w:r>
    </w:p>
    <w:p w14:paraId="53E84BC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outlineLvl w:val="1"/>
        <w:rPr>
          <w:rFonts w:hint="eastAsia" w:ascii="宋体" w:hAnsi="宋体" w:eastAsia="宋体" w:cs="宋体"/>
          <w:color w:val="auto"/>
          <w:highlight w:val="none"/>
          <w:u w:val="single"/>
          <w:lang w:val="en-US" w:eastAsia="zh-CN"/>
        </w:rPr>
      </w:pPr>
      <w:r>
        <w:rPr>
          <w:rFonts w:hint="eastAsia" w:ascii="宋体" w:hAnsi="宋体" w:eastAsia="宋体" w:cs="宋体"/>
          <w:color w:val="auto"/>
          <w:sz w:val="21"/>
          <w:szCs w:val="21"/>
          <w:highlight w:val="none"/>
        </w:rPr>
        <w:t>3、工程内容：</w:t>
      </w:r>
      <w:r>
        <w:rPr>
          <w:rFonts w:hint="eastAsia" w:ascii="宋体" w:hAnsi="宋体" w:eastAsia="宋体" w:cs="宋体"/>
          <w:color w:val="auto"/>
          <w:sz w:val="21"/>
          <w:szCs w:val="21"/>
          <w:highlight w:val="none"/>
          <w:u w:val="single"/>
          <w:lang w:val="en-US" w:eastAsia="zh-CN"/>
        </w:rPr>
        <w:t xml:space="preserve">                                                   </w:t>
      </w:r>
    </w:p>
    <w:p w14:paraId="66CA4DC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4、工程质量要求：</w:t>
      </w:r>
      <w:r>
        <w:rPr>
          <w:rFonts w:hint="eastAsia" w:ascii="宋体" w:hAnsi="宋体" w:eastAsia="宋体" w:cs="宋体"/>
          <w:color w:val="auto"/>
          <w:kern w:val="0"/>
          <w:sz w:val="21"/>
          <w:szCs w:val="21"/>
          <w:highlight w:val="none"/>
        </w:rPr>
        <w:t>合格</w:t>
      </w:r>
    </w:p>
    <w:p w14:paraId="5C1E170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bookmarkStart w:id="29" w:name="_Toc15147"/>
      <w:bookmarkStart w:id="30" w:name="_Toc7606"/>
      <w:bookmarkStart w:id="31" w:name="_Toc424914274"/>
      <w:bookmarkStart w:id="32" w:name="_Toc224699375"/>
      <w:bookmarkStart w:id="33" w:name="_Toc196637649"/>
      <w:bookmarkStart w:id="34" w:name="_Toc184635098"/>
      <w:bookmarkStart w:id="35" w:name="_Toc196637413"/>
      <w:bookmarkStart w:id="36" w:name="_Toc196637767"/>
    </w:p>
    <w:p w14:paraId="642136D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二、合同工期</w:t>
      </w:r>
      <w:r>
        <w:rPr>
          <w:rFonts w:hint="eastAsia" w:ascii="宋体" w:hAnsi="宋体" w:eastAsia="宋体" w:cs="宋体"/>
          <w:b/>
          <w:color w:val="auto"/>
          <w:sz w:val="21"/>
          <w:szCs w:val="21"/>
          <w:highlight w:val="none"/>
          <w:lang w:eastAsia="zh-CN"/>
        </w:rPr>
        <w:t>：</w:t>
      </w:r>
    </w:p>
    <w:p w14:paraId="5C66698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日计划开工，</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日计划竣工，施工总工期：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w:t>
      </w:r>
    </w:p>
    <w:p w14:paraId="40D5B6A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三、结算与付款</w:t>
      </w:r>
      <w:r>
        <w:rPr>
          <w:rFonts w:hint="eastAsia" w:ascii="宋体" w:hAnsi="宋体" w:eastAsia="宋体" w:cs="宋体"/>
          <w:b/>
          <w:bCs/>
          <w:color w:val="auto"/>
          <w:sz w:val="21"/>
          <w:szCs w:val="21"/>
          <w:highlight w:val="none"/>
          <w:lang w:eastAsia="zh-CN"/>
        </w:rPr>
        <w:t>：</w:t>
      </w:r>
    </w:p>
    <w:p w14:paraId="12A4FEE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1、工程验收</w:t>
      </w:r>
    </w:p>
    <w:p w14:paraId="1AB735E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分项工程完成后，乙方自检合格，然后以书面形式（含内业资料），报甲方验收,甲方验收确认合格并签字后，乙方方可进行下一道工序的施工；若验收不合格，乙方必须进行返工，待自检合格后重新报验。全部工程按合同及设计要求完成后，由施工单位提交验收申请报告，甲方组织验收，竣工验收证书作为结算工程价款的依据。</w:t>
      </w:r>
    </w:p>
    <w:p w14:paraId="716EBF2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乙方对其改造的工程具有保修的责任和义务，本工程质量</w:t>
      </w:r>
      <w:r>
        <w:rPr>
          <w:rFonts w:hint="eastAsia" w:ascii="宋体" w:hAnsi="宋体" w:eastAsia="宋体" w:cs="宋体"/>
          <w:color w:val="auto"/>
          <w:sz w:val="21"/>
          <w:szCs w:val="21"/>
          <w:highlight w:val="none"/>
          <w:lang w:eastAsia="zh-CN"/>
        </w:rPr>
        <w:t>质保期</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lang w:val="en-US" w:eastAsia="zh-CN"/>
        </w:rPr>
        <w:t>两</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rPr>
        <w:t>，质量保证金为工程</w:t>
      </w:r>
      <w:r>
        <w:rPr>
          <w:rFonts w:hint="eastAsia" w:ascii="宋体" w:hAnsi="宋体" w:eastAsia="宋体" w:cs="宋体"/>
          <w:color w:val="auto"/>
          <w:sz w:val="21"/>
          <w:szCs w:val="21"/>
          <w:highlight w:val="none"/>
          <w:lang w:eastAsia="zh-CN"/>
        </w:rPr>
        <w:t>审定</w:t>
      </w:r>
      <w:r>
        <w:rPr>
          <w:rFonts w:hint="eastAsia" w:ascii="宋体" w:hAnsi="宋体" w:eastAsia="宋体" w:cs="宋体"/>
          <w:color w:val="auto"/>
          <w:sz w:val="21"/>
          <w:szCs w:val="21"/>
          <w:highlight w:val="none"/>
        </w:rPr>
        <w:t>造价的</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，在工程质量</w:t>
      </w:r>
      <w:r>
        <w:rPr>
          <w:rFonts w:hint="eastAsia" w:ascii="宋体" w:hAnsi="宋体" w:eastAsia="宋体" w:cs="宋体"/>
          <w:color w:val="auto"/>
          <w:sz w:val="21"/>
          <w:szCs w:val="21"/>
          <w:highlight w:val="none"/>
          <w:lang w:eastAsia="zh-CN"/>
        </w:rPr>
        <w:t>质保期</w:t>
      </w:r>
      <w:r>
        <w:rPr>
          <w:rFonts w:hint="eastAsia" w:ascii="宋体" w:hAnsi="宋体" w:eastAsia="宋体" w:cs="宋体"/>
          <w:color w:val="auto"/>
          <w:sz w:val="21"/>
          <w:szCs w:val="21"/>
          <w:highlight w:val="none"/>
        </w:rPr>
        <w:t>内发生质量问题，乙方应当履行保修义务，费用自负，在</w:t>
      </w:r>
      <w:r>
        <w:rPr>
          <w:rFonts w:hint="eastAsia" w:ascii="宋体" w:hAnsi="宋体" w:eastAsia="宋体" w:cs="宋体"/>
          <w:color w:val="auto"/>
          <w:sz w:val="21"/>
          <w:szCs w:val="21"/>
          <w:highlight w:val="none"/>
          <w:lang w:eastAsia="zh-CN"/>
        </w:rPr>
        <w:t>质保期</w:t>
      </w:r>
      <w:r>
        <w:rPr>
          <w:rFonts w:hint="eastAsia" w:ascii="宋体" w:hAnsi="宋体" w:eastAsia="宋体" w:cs="宋体"/>
          <w:color w:val="auto"/>
          <w:sz w:val="21"/>
          <w:szCs w:val="21"/>
          <w:highlight w:val="none"/>
        </w:rPr>
        <w:t>内乙方接到甲方通知后应及时维修，不得拖延。</w:t>
      </w:r>
    </w:p>
    <w:p w14:paraId="7130DD1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工程实施中，如需增加或减少工程内容，必须报请甲方认可，双方签字盖章后方可生效实施。变更工程价款的增加或减少额，以甲方经审计后的分部分项照价清单为准，工程量按实计算。</w:t>
      </w:r>
    </w:p>
    <w:p w14:paraId="6B5A0F1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2、工程款支付</w:t>
      </w:r>
    </w:p>
    <w:p w14:paraId="2919ADA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款以实际完成的单位工程量，经验收审计后确定的工程价作为结算支付的依据，因工程变更或工程量增加（减少）导致的对工程合同价款的调整按实计算，工程完工，乙方向甲方提供完整的竣工资料，甲方接到报告及工程竣工文件后，组织验收，并在验收后给予批准或提出修改意见，竣工验收报告批准后，工程竣工验收合格。</w:t>
      </w:r>
    </w:p>
    <w:p w14:paraId="4D3BCC8F">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22" w:firstLineChars="200"/>
        <w:textAlignment w:val="auto"/>
        <w:rPr>
          <w:rFonts w:hint="eastAsia" w:ascii="宋体" w:hAnsi="宋体" w:eastAsia="宋体" w:cs="宋体"/>
          <w:b/>
          <w:color w:val="auto"/>
          <w:szCs w:val="21"/>
          <w:highlight w:val="none"/>
          <w:u w:val="single"/>
          <w:lang w:eastAsia="zh-CN"/>
        </w:rPr>
      </w:pPr>
      <w:r>
        <w:rPr>
          <w:rFonts w:hint="eastAsia" w:ascii="宋体" w:hAnsi="宋体" w:eastAsia="宋体" w:cs="宋体"/>
          <w:b/>
          <w:color w:val="auto"/>
          <w:szCs w:val="21"/>
          <w:highlight w:val="none"/>
          <w:u w:val="single"/>
          <w:lang w:eastAsia="zh-CN"/>
        </w:rPr>
        <w:t>本工程无预付款，全部工程竣工并经相关部门验收合格后付至合同价的40%，经审计部门审计完成后付至审定价款的 30%，第三年无息付清剩余工程款的30%。工程最终结算造价以审计部门审计结果为准。</w:t>
      </w:r>
    </w:p>
    <w:p w14:paraId="0A90680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color w:val="auto"/>
          <w:spacing w:val="-2"/>
          <w:highlight w:val="none"/>
          <w:u w:val="single"/>
          <w:lang w:eastAsia="zh-CN"/>
        </w:rPr>
      </w:pPr>
      <w:r>
        <w:rPr>
          <w:rFonts w:hint="eastAsia" w:ascii="宋体" w:hAnsi="宋体" w:eastAsia="宋体" w:cs="宋体"/>
          <w:b/>
          <w:color w:val="auto"/>
          <w:szCs w:val="21"/>
          <w:highlight w:val="none"/>
          <w:u w:val="single"/>
          <w:lang w:eastAsia="zh-CN"/>
        </w:rPr>
        <w:t> 为确保工程保质保量按期完工，本项目工程款承包人必须专款专用，如发现承包人挪用工程款现象，由此造成的一切损失均有承包人承担</w:t>
      </w:r>
      <w:r>
        <w:rPr>
          <w:rFonts w:hint="eastAsia" w:ascii="宋体" w:hAnsi="宋体" w:eastAsia="宋体" w:cs="宋体"/>
          <w:b/>
          <w:color w:val="auto"/>
          <w:spacing w:val="-2"/>
          <w:highlight w:val="none"/>
          <w:u w:val="none"/>
          <w:lang w:eastAsia="zh-CN"/>
        </w:rPr>
        <w:t>。</w:t>
      </w:r>
    </w:p>
    <w:p w14:paraId="2DC79DA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lang w:eastAsia="zh-CN"/>
        </w:rPr>
        <w:t>四、</w:t>
      </w:r>
      <w:r>
        <w:rPr>
          <w:rFonts w:hint="eastAsia" w:ascii="宋体" w:hAnsi="宋体" w:eastAsia="宋体" w:cs="宋体"/>
          <w:b/>
          <w:bCs/>
          <w:color w:val="auto"/>
          <w:sz w:val="21"/>
          <w:szCs w:val="21"/>
          <w:highlight w:val="none"/>
        </w:rPr>
        <w:t>双方责任</w:t>
      </w:r>
      <w:r>
        <w:rPr>
          <w:rFonts w:hint="eastAsia" w:ascii="宋体" w:hAnsi="宋体" w:eastAsia="宋体" w:cs="宋体"/>
          <w:b/>
          <w:bCs/>
          <w:color w:val="auto"/>
          <w:sz w:val="21"/>
          <w:szCs w:val="21"/>
          <w:highlight w:val="none"/>
          <w:lang w:val="en-US" w:eastAsia="zh-CN"/>
        </w:rPr>
        <w:t>:</w:t>
      </w:r>
    </w:p>
    <w:p w14:paraId="2076DD1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（一）甲方责任</w:t>
      </w:r>
    </w:p>
    <w:p w14:paraId="41634AA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1、协调工程所在地的外部关系及村民地方关系。</w:t>
      </w:r>
    </w:p>
    <w:p w14:paraId="1265C8F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2、按约定的拨款办法如期拨款和结算。</w:t>
      </w:r>
    </w:p>
    <w:p w14:paraId="45F2698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3、指派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同志为甲方工地代表，对工程进度、质量进行检查及办理施工中的各种签证。</w:t>
      </w:r>
    </w:p>
    <w:p w14:paraId="50F3848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4、负责清理现场及附属物。</w:t>
      </w:r>
    </w:p>
    <w:p w14:paraId="2AADB91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（二）乙方责任</w:t>
      </w:r>
    </w:p>
    <w:p w14:paraId="2B4564C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1、负责编制施工方案，按甲方同意的方案组织施工。</w:t>
      </w:r>
    </w:p>
    <w:p w14:paraId="557155A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2、负责办理开竣工等有关资料的填报。</w:t>
      </w:r>
    </w:p>
    <w:p w14:paraId="287C675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3、工程完工后，负责清理现场，提供竣工验收资料和竣工结算资料，参加工程竣工验收。</w:t>
      </w:r>
    </w:p>
    <w:p w14:paraId="6688096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4、指派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同志为乙方工地项目代表，负责施工现场的管理与联系工作。</w:t>
      </w:r>
    </w:p>
    <w:p w14:paraId="6333C61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5、自行负责施工中发生的一切人身和机械事故，自行处理非甲方原因造成的民事纠纷。</w:t>
      </w:r>
    </w:p>
    <w:p w14:paraId="0576170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6、承包人不得将其承包的全部或部分工程转包给第三人，或将其承包的全部工程肢解后以分包的名义转包给第三人，如有违反，发包人可以单方面提出终止合同且有权不予支付本项目产生的一切费用。</w:t>
      </w:r>
    </w:p>
    <w:p w14:paraId="5202B97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、其他</w:t>
      </w:r>
      <w:r>
        <w:rPr>
          <w:rFonts w:hint="eastAsia" w:ascii="宋体" w:hAnsi="宋体" w:eastAsia="宋体" w:cs="宋体"/>
          <w:b/>
          <w:bCs/>
          <w:color w:val="auto"/>
          <w:sz w:val="21"/>
          <w:szCs w:val="21"/>
          <w:highlight w:val="none"/>
          <w:lang w:eastAsia="zh-CN"/>
        </w:rPr>
        <w:t>：</w:t>
      </w:r>
    </w:p>
    <w:p w14:paraId="3E7EA92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1、本合同未尽事宜双方协商解决</w:t>
      </w:r>
      <w:r>
        <w:rPr>
          <w:rFonts w:hint="eastAsia" w:ascii="宋体" w:hAnsi="宋体" w:eastAsia="宋体" w:cs="宋体"/>
          <w:color w:val="auto"/>
          <w:sz w:val="21"/>
          <w:szCs w:val="21"/>
          <w:highlight w:val="none"/>
          <w:lang w:eastAsia="zh-CN"/>
        </w:rPr>
        <w:t>。</w:t>
      </w:r>
    </w:p>
    <w:p w14:paraId="5E142DE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份，双方签字盖章后生效，合同条款全部履行完毕后自行失效。</w:t>
      </w:r>
    </w:p>
    <w:p w14:paraId="2519D42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p>
    <w:p w14:paraId="1688F3E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p>
    <w:p w14:paraId="2FF690D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公</w:t>
      </w:r>
      <w:r>
        <w:rPr>
          <w:rFonts w:hint="eastAsia" w:ascii="宋体" w:hAnsi="宋体" w:eastAsia="宋体" w:cs="宋体"/>
          <w:color w:val="auto"/>
          <w:sz w:val="21"/>
          <w:szCs w:val="21"/>
          <w:highlight w:val="none"/>
        </w:rPr>
        <w:t xml:space="preserve">章）  </w:t>
      </w:r>
      <w:r>
        <w:rPr>
          <w:rFonts w:hint="eastAsia" w:ascii="宋体" w:hAnsi="宋体" w:eastAsia="宋体" w:cs="宋体"/>
          <w:color w:val="auto"/>
          <w:sz w:val="21"/>
          <w:szCs w:val="21"/>
          <w:highlight w:val="none"/>
          <w:lang w:val="en-US" w:eastAsia="zh-CN"/>
        </w:rPr>
        <w:t xml:space="preserve">                           负责人：</w:t>
      </w:r>
    </w:p>
    <w:p w14:paraId="4F139B88">
      <w:pPr>
        <w:keepNext w:val="0"/>
        <w:keepLines w:val="0"/>
        <w:pageBreakBefore w:val="0"/>
        <w:widowControl w:val="0"/>
        <w:kinsoku/>
        <w:wordWrap w:val="0"/>
        <w:overflowPunct/>
        <w:topLinePunct/>
        <w:autoSpaceDE/>
        <w:autoSpaceDN/>
        <w:bidi w:val="0"/>
        <w:adjustRightInd w:val="0"/>
        <w:snapToGrid w:val="0"/>
        <w:spacing w:line="360" w:lineRule="auto"/>
        <w:ind w:right="0" w:rightChars="0" w:firstLine="5040" w:firstLineChars="2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分管人：</w:t>
      </w:r>
    </w:p>
    <w:p w14:paraId="376118E3">
      <w:pPr>
        <w:keepNext w:val="0"/>
        <w:keepLines w:val="0"/>
        <w:pageBreakBefore w:val="0"/>
        <w:widowControl w:val="0"/>
        <w:kinsoku/>
        <w:wordWrap w:val="0"/>
        <w:overflowPunct/>
        <w:topLinePunct/>
        <w:autoSpaceDE/>
        <w:autoSpaceDN/>
        <w:bidi w:val="0"/>
        <w:adjustRightInd w:val="0"/>
        <w:snapToGrid w:val="0"/>
        <w:spacing w:line="360" w:lineRule="auto"/>
        <w:ind w:left="6090" w:leftChars="0" w:right="0" w:rightChars="0" w:hanging="6090" w:hangingChars="29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经办人：</w:t>
      </w:r>
    </w:p>
    <w:p w14:paraId="27096F8A">
      <w:pPr>
        <w:keepNext w:val="0"/>
        <w:keepLines w:val="0"/>
        <w:pageBreakBefore w:val="0"/>
        <w:widowControl w:val="0"/>
        <w:kinsoku/>
        <w:wordWrap w:val="0"/>
        <w:overflowPunct/>
        <w:topLinePunct/>
        <w:autoSpaceDE/>
        <w:autoSpaceDN/>
        <w:bidi w:val="0"/>
        <w:adjustRightInd w:val="0"/>
        <w:snapToGrid w:val="0"/>
        <w:spacing w:line="360" w:lineRule="auto"/>
        <w:ind w:right="0" w:rightChars="0" w:firstLine="6930" w:firstLineChars="33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日</w:t>
      </w:r>
    </w:p>
    <w:p w14:paraId="2244EBF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p>
    <w:p w14:paraId="0D8F4F6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方： (盖章）</w:t>
      </w:r>
      <w:r>
        <w:rPr>
          <w:rFonts w:hint="eastAsia" w:ascii="宋体" w:hAnsi="宋体" w:eastAsia="宋体" w:cs="宋体"/>
          <w:color w:val="auto"/>
          <w:sz w:val="21"/>
          <w:szCs w:val="21"/>
          <w:highlight w:val="none"/>
          <w:lang w:val="en-US" w:eastAsia="zh-CN"/>
        </w:rPr>
        <w:t xml:space="preserve">                            负责人：</w:t>
      </w:r>
    </w:p>
    <w:p w14:paraId="1684BA27">
      <w:pPr>
        <w:keepNext w:val="0"/>
        <w:keepLines w:val="0"/>
        <w:pageBreakBefore w:val="0"/>
        <w:widowControl w:val="0"/>
        <w:kinsoku/>
        <w:wordWrap w:val="0"/>
        <w:overflowPunct/>
        <w:topLinePunct/>
        <w:autoSpaceDE/>
        <w:autoSpaceDN/>
        <w:bidi w:val="0"/>
        <w:adjustRightInd w:val="0"/>
        <w:snapToGrid w:val="0"/>
        <w:spacing w:line="360" w:lineRule="auto"/>
        <w:ind w:right="0" w:rightChars="0" w:firstLine="5040" w:firstLineChars="2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分管人：</w:t>
      </w:r>
    </w:p>
    <w:p w14:paraId="297DEE4A">
      <w:pPr>
        <w:keepNext w:val="0"/>
        <w:keepLines w:val="0"/>
        <w:pageBreakBefore w:val="0"/>
        <w:widowControl w:val="0"/>
        <w:kinsoku/>
        <w:wordWrap w:val="0"/>
        <w:overflowPunct/>
        <w:topLinePunct/>
        <w:autoSpaceDE/>
        <w:autoSpaceDN/>
        <w:bidi w:val="0"/>
        <w:adjustRightInd w:val="0"/>
        <w:snapToGrid w:val="0"/>
        <w:spacing w:line="360" w:lineRule="auto"/>
        <w:ind w:left="6090" w:leftChars="0" w:right="0" w:rightChars="0" w:hanging="6090" w:hangingChars="29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经办人：</w:t>
      </w:r>
    </w:p>
    <w:p w14:paraId="14B701B1">
      <w:pPr>
        <w:keepNext w:val="0"/>
        <w:keepLines w:val="0"/>
        <w:pageBreakBefore w:val="0"/>
        <w:widowControl w:val="0"/>
        <w:kinsoku/>
        <w:wordWrap w:val="0"/>
        <w:overflowPunct/>
        <w:topLinePunct/>
        <w:autoSpaceDE/>
        <w:autoSpaceDN/>
        <w:bidi w:val="0"/>
        <w:adjustRightInd w:val="0"/>
        <w:snapToGrid w:val="0"/>
        <w:spacing w:line="360" w:lineRule="auto"/>
        <w:ind w:right="0" w:rightChars="0" w:firstLine="6930" w:firstLineChars="33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日</w:t>
      </w:r>
    </w:p>
    <w:p w14:paraId="1026E34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right"/>
        <w:textAlignment w:val="auto"/>
        <w:rPr>
          <w:rFonts w:hint="eastAsia" w:ascii="宋体" w:hAnsi="宋体" w:eastAsia="宋体" w:cs="宋体"/>
          <w:color w:val="auto"/>
          <w:sz w:val="21"/>
          <w:szCs w:val="21"/>
          <w:highlight w:val="none"/>
        </w:rPr>
      </w:pPr>
    </w:p>
    <w:p w14:paraId="1676CB6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签约地点：</w:t>
      </w:r>
      <w:r>
        <w:rPr>
          <w:rFonts w:hint="eastAsia" w:ascii="宋体" w:hAnsi="宋体" w:eastAsia="宋体" w:cs="宋体"/>
          <w:color w:val="auto"/>
          <w:sz w:val="21"/>
          <w:szCs w:val="21"/>
          <w:highlight w:val="none"/>
          <w:u w:val="single"/>
          <w:lang w:val="en-US" w:eastAsia="zh-CN"/>
        </w:rPr>
        <w:t xml:space="preserve">                                    </w:t>
      </w:r>
    </w:p>
    <w:p w14:paraId="36C904D0">
      <w:pPr>
        <w:pStyle w:val="4"/>
        <w:keepNext w:val="0"/>
        <w:keepLines w:val="0"/>
        <w:pageBreakBefore w:val="0"/>
        <w:widowControl w:val="0"/>
        <w:kinsoku/>
        <w:wordWrap w:val="0"/>
        <w:overflowPunct/>
        <w:topLinePunct/>
        <w:autoSpaceDE/>
        <w:autoSpaceDN/>
        <w:bidi w:val="0"/>
        <w:adjustRightInd w:val="0"/>
        <w:snapToGrid w:val="0"/>
        <w:spacing w:before="0" w:after="0" w:line="360" w:lineRule="auto"/>
        <w:ind w:left="0" w:leftChars="0" w:right="0" w:rightChars="0"/>
        <w:jc w:val="center"/>
        <w:textAlignment w:val="auto"/>
        <w:rPr>
          <w:rFonts w:hint="eastAsia" w:ascii="宋体" w:hAnsi="宋体" w:eastAsia="宋体" w:cs="宋体"/>
          <w:color w:val="auto"/>
          <w:sz w:val="28"/>
          <w:szCs w:val="28"/>
          <w:highlight w:val="none"/>
        </w:rPr>
      </w:pPr>
    </w:p>
    <w:p w14:paraId="0B11CF33">
      <w:pPr>
        <w:rPr>
          <w:rFonts w:hint="eastAsia" w:ascii="宋体" w:hAnsi="宋体" w:eastAsia="宋体" w:cs="宋体"/>
          <w:color w:val="auto"/>
          <w:highlight w:val="none"/>
        </w:rPr>
      </w:pPr>
    </w:p>
    <w:p w14:paraId="54ED7E90">
      <w:pPr>
        <w:pStyle w:val="4"/>
        <w:keepNext w:val="0"/>
        <w:keepLines w:val="0"/>
        <w:pageBreakBefore w:val="0"/>
        <w:widowControl w:val="0"/>
        <w:kinsoku/>
        <w:wordWrap w:val="0"/>
        <w:overflowPunct/>
        <w:topLinePunct/>
        <w:autoSpaceDE/>
        <w:autoSpaceDN/>
        <w:bidi w:val="0"/>
        <w:adjustRightInd w:val="0"/>
        <w:snapToGrid w:val="0"/>
        <w:spacing w:before="0" w:after="0" w:line="360" w:lineRule="auto"/>
        <w:ind w:left="0" w:leftChars="0" w:right="0" w:rightChars="0"/>
        <w:jc w:val="center"/>
        <w:textAlignment w:val="auto"/>
        <w:rPr>
          <w:rFonts w:hint="eastAsia" w:ascii="宋体" w:hAnsi="宋体" w:eastAsia="宋体" w:cs="宋体"/>
          <w:color w:val="auto"/>
          <w:sz w:val="28"/>
          <w:szCs w:val="28"/>
          <w:highlight w:val="none"/>
        </w:rPr>
      </w:pPr>
    </w:p>
    <w:p w14:paraId="3B1C53F5">
      <w:pPr>
        <w:pStyle w:val="4"/>
        <w:keepNext w:val="0"/>
        <w:keepLines w:val="0"/>
        <w:pageBreakBefore w:val="0"/>
        <w:widowControl w:val="0"/>
        <w:kinsoku/>
        <w:wordWrap w:val="0"/>
        <w:overflowPunct/>
        <w:topLinePunct/>
        <w:autoSpaceDE/>
        <w:autoSpaceDN/>
        <w:bidi w:val="0"/>
        <w:adjustRightInd w:val="0"/>
        <w:snapToGrid w:val="0"/>
        <w:spacing w:before="0" w:after="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8"/>
          <w:szCs w:val="28"/>
          <w:highlight w:val="none"/>
        </w:rPr>
        <w:t>第一节  通用合同条款</w:t>
      </w:r>
      <w:bookmarkEnd w:id="29"/>
      <w:bookmarkEnd w:id="30"/>
      <w:bookmarkEnd w:id="31"/>
    </w:p>
    <w:p w14:paraId="186EA0A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通用合同条款（见《中国人民共和国标准施工招标文件》</w:t>
      </w:r>
      <w:r>
        <w:rPr>
          <w:rFonts w:hint="eastAsia" w:ascii="宋体" w:hAnsi="宋体" w:eastAsia="宋体" w:cs="宋体"/>
          <w:color w:val="auto"/>
          <w:sz w:val="21"/>
          <w:szCs w:val="21"/>
          <w:highlight w:val="none"/>
          <w:lang w:val="en-US" w:eastAsia="zh-CN"/>
        </w:rPr>
        <w:t>2007版</w:t>
      </w:r>
    </w:p>
    <w:bookmarkEnd w:id="32"/>
    <w:bookmarkEnd w:id="33"/>
    <w:bookmarkEnd w:id="34"/>
    <w:bookmarkEnd w:id="35"/>
    <w:bookmarkEnd w:id="36"/>
    <w:p w14:paraId="72D8A007">
      <w:pPr>
        <w:pStyle w:val="4"/>
        <w:keepNext w:val="0"/>
        <w:keepLines w:val="0"/>
        <w:pageBreakBefore w:val="0"/>
        <w:widowControl w:val="0"/>
        <w:kinsoku/>
        <w:wordWrap w:val="0"/>
        <w:overflowPunct/>
        <w:topLinePunct/>
        <w:autoSpaceDE/>
        <w:autoSpaceDN/>
        <w:bidi w:val="0"/>
        <w:adjustRightInd w:val="0"/>
        <w:snapToGrid w:val="0"/>
        <w:spacing w:before="0" w:after="0" w:line="360" w:lineRule="auto"/>
        <w:ind w:left="0" w:leftChars="0" w:right="0" w:rightChars="0"/>
        <w:jc w:val="center"/>
        <w:outlineLvl w:val="9"/>
        <w:rPr>
          <w:rFonts w:hint="eastAsia" w:ascii="宋体" w:hAnsi="宋体" w:eastAsia="宋体" w:cs="宋体"/>
          <w:color w:val="auto"/>
          <w:sz w:val="21"/>
          <w:szCs w:val="21"/>
          <w:highlight w:val="none"/>
        </w:rPr>
      </w:pPr>
      <w:bookmarkStart w:id="37" w:name="_Toc300901177"/>
      <w:bookmarkStart w:id="38" w:name="_Toc424914275"/>
      <w:bookmarkStart w:id="39" w:name="_Toc366591273"/>
    </w:p>
    <w:p w14:paraId="4BB54F5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0E511C7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397DE93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57C8E31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0585AB0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326453E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364580D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0EFFA6B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1FEAB96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6A9DC21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7F291B2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36FF644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08D12AC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4430CE1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211FB21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698E66E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2A49A47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4C035AA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0BB41F1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490BB94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37DE0DE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1826FA5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3DDE981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2296808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08661B3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7039382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1766988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7681206C">
      <w:pPr>
        <w:pStyle w:val="2"/>
        <w:keepNext w:val="0"/>
        <w:keepLines w:val="0"/>
        <w:pageBreakBefore w:val="0"/>
        <w:widowControl w:val="0"/>
        <w:kinsoku/>
        <w:wordWrap w:val="0"/>
        <w:overflowPunct/>
        <w:topLinePunct/>
        <w:autoSpaceDE/>
        <w:autoSpaceDN/>
        <w:bidi w:val="0"/>
        <w:adjustRightInd w:val="0"/>
        <w:snapToGrid w:val="0"/>
        <w:spacing w:before="0" w:beforeLines="0" w:line="360" w:lineRule="auto"/>
        <w:ind w:left="0" w:leftChars="0" w:right="0" w:rightChars="0"/>
        <w:rPr>
          <w:rFonts w:hint="eastAsia" w:ascii="宋体" w:hAnsi="宋体" w:eastAsia="宋体" w:cs="宋体"/>
          <w:color w:val="auto"/>
          <w:sz w:val="21"/>
          <w:szCs w:val="21"/>
          <w:highlight w:val="none"/>
        </w:rPr>
      </w:pPr>
    </w:p>
    <w:p w14:paraId="0A19EF3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Pr>
          <w:rFonts w:hint="eastAsia" w:ascii="宋体" w:hAnsi="宋体" w:eastAsia="宋体" w:cs="宋体"/>
          <w:color w:val="auto"/>
          <w:sz w:val="21"/>
          <w:szCs w:val="21"/>
          <w:highlight w:val="none"/>
        </w:rPr>
      </w:pPr>
    </w:p>
    <w:p w14:paraId="0FF0AD73">
      <w:pPr>
        <w:pStyle w:val="2"/>
        <w:rPr>
          <w:rFonts w:hint="eastAsia" w:ascii="宋体" w:hAnsi="宋体" w:eastAsia="宋体" w:cs="宋体"/>
          <w:color w:val="auto"/>
          <w:highlight w:val="none"/>
        </w:rPr>
      </w:pPr>
    </w:p>
    <w:p w14:paraId="6F7FE2A9">
      <w:pPr>
        <w:pStyle w:val="4"/>
        <w:keepNext w:val="0"/>
        <w:keepLines w:val="0"/>
        <w:pageBreakBefore w:val="0"/>
        <w:widowControl w:val="0"/>
        <w:kinsoku/>
        <w:wordWrap w:val="0"/>
        <w:overflowPunct/>
        <w:topLinePunct/>
        <w:autoSpaceDE/>
        <w:autoSpaceDN/>
        <w:bidi w:val="0"/>
        <w:adjustRightInd w:val="0"/>
        <w:snapToGrid w:val="0"/>
        <w:spacing w:before="0" w:after="0" w:line="360" w:lineRule="auto"/>
        <w:ind w:left="0" w:leftChars="0" w:right="0" w:rightChars="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第二节  专用合同条款</w:t>
      </w:r>
      <w:bookmarkEnd w:id="37"/>
      <w:bookmarkEnd w:id="38"/>
      <w:bookmarkEnd w:id="39"/>
    </w:p>
    <w:p w14:paraId="11D4080D">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1.一般约定</w:t>
      </w:r>
    </w:p>
    <w:p w14:paraId="68C3E5A9">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1.1词语定义</w:t>
      </w:r>
    </w:p>
    <w:p w14:paraId="19BBDAD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1.1.2合同当事人和人员</w:t>
      </w:r>
    </w:p>
    <w:p w14:paraId="33BD2AB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1.1.2.2发包人：</w:t>
      </w:r>
      <w:r>
        <w:rPr>
          <w:rFonts w:hint="eastAsia" w:ascii="宋体" w:hAnsi="宋体" w:eastAsia="宋体" w:cs="宋体"/>
          <w:color w:val="auto"/>
          <w:sz w:val="21"/>
          <w:szCs w:val="21"/>
          <w:highlight w:val="none"/>
          <w:u w:val="single"/>
          <w:lang w:val="en-US" w:eastAsia="zh-CN"/>
        </w:rPr>
        <w:t xml:space="preserve">                                              </w:t>
      </w:r>
    </w:p>
    <w:p w14:paraId="2975DB0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1.1.2.6监理人：</w:t>
      </w:r>
      <w:r>
        <w:rPr>
          <w:rFonts w:hint="eastAsia" w:ascii="宋体" w:hAnsi="宋体" w:eastAsia="宋体" w:cs="宋体"/>
          <w:color w:val="auto"/>
          <w:sz w:val="21"/>
          <w:szCs w:val="21"/>
          <w:highlight w:val="none"/>
          <w:u w:val="single"/>
        </w:rPr>
        <w:t xml:space="preserve">                                              </w:t>
      </w:r>
    </w:p>
    <w:p w14:paraId="6EBAC5A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1.1.2.8发包人代表：指发包人指定的派驻施工场地(现场)的全权代表。</w:t>
      </w:r>
    </w:p>
    <w:p w14:paraId="3A9DE52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p>
    <w:p w14:paraId="0C0A293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称：</w:t>
      </w:r>
      <w:r>
        <w:rPr>
          <w:rFonts w:hint="eastAsia" w:ascii="宋体" w:hAnsi="宋体" w:eastAsia="宋体" w:cs="宋体"/>
          <w:color w:val="auto"/>
          <w:sz w:val="21"/>
          <w:szCs w:val="21"/>
          <w:highlight w:val="none"/>
          <w:u w:val="single"/>
        </w:rPr>
        <w:t xml:space="preserve">                                                    </w:t>
      </w:r>
    </w:p>
    <w:p w14:paraId="6FD7047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p>
    <w:p w14:paraId="339A151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14:paraId="5B13646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p>
    <w:p w14:paraId="632D1A7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1.1.2.9 专业分包人：指根据合同条款第15.8.1项的约定，由发包人和承包人以</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方式选择的分包人。</w:t>
      </w:r>
    </w:p>
    <w:p w14:paraId="2BD53A5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1.1.2.10 专项供应商：指根据合同条款第15.8.1项的约定，由发包人和承包人以</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方式选择的供应商。</w:t>
      </w:r>
    </w:p>
    <w:p w14:paraId="4123DE2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1.1.2.11独立承包人：指与发包人直接订立工程承包合同，负责实施与工程有关的其他工作的当事人。</w:t>
      </w:r>
    </w:p>
    <w:p w14:paraId="08ABEE3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1.1.3工程和设备</w:t>
      </w:r>
    </w:p>
    <w:p w14:paraId="74D038E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1.1.3.2永久工程：</w:t>
      </w:r>
      <w:r>
        <w:rPr>
          <w:rFonts w:hint="eastAsia" w:ascii="宋体" w:hAnsi="宋体" w:eastAsia="宋体" w:cs="宋体"/>
          <w:color w:val="auto"/>
          <w:sz w:val="21"/>
          <w:szCs w:val="21"/>
          <w:highlight w:val="none"/>
          <w:u w:val="single"/>
        </w:rPr>
        <w:t>按合同约定建造并移交给发包人的工程，包括工程设备</w:t>
      </w:r>
      <w:r>
        <w:rPr>
          <w:rFonts w:hint="eastAsia" w:ascii="宋体" w:hAnsi="宋体" w:eastAsia="宋体" w:cs="宋体"/>
          <w:color w:val="auto"/>
          <w:sz w:val="21"/>
          <w:szCs w:val="21"/>
          <w:highlight w:val="none"/>
        </w:rPr>
        <w:t>。</w:t>
      </w:r>
    </w:p>
    <w:p w14:paraId="07E423D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1.1.3.3临时工程：</w:t>
      </w:r>
      <w:r>
        <w:rPr>
          <w:rFonts w:hint="eastAsia" w:ascii="宋体" w:hAnsi="宋体" w:eastAsia="宋体" w:cs="宋体"/>
          <w:color w:val="auto"/>
          <w:sz w:val="21"/>
          <w:szCs w:val="21"/>
          <w:highlight w:val="none"/>
          <w:u w:val="single"/>
        </w:rPr>
        <w:t>为完成合同约定的永久工程所修建的各类临时性工程，不包括施工设备</w:t>
      </w:r>
      <w:r>
        <w:rPr>
          <w:rFonts w:hint="eastAsia" w:ascii="宋体" w:hAnsi="宋体" w:eastAsia="宋体" w:cs="宋体"/>
          <w:color w:val="auto"/>
          <w:sz w:val="21"/>
          <w:szCs w:val="21"/>
          <w:highlight w:val="none"/>
        </w:rPr>
        <w:t>。</w:t>
      </w:r>
    </w:p>
    <w:p w14:paraId="142B37F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1.1.3.4单位工程：指具有相对独立的设计文件，能够独立组织施工并能形成独立使用功能的永久工程的组成部分。</w:t>
      </w:r>
    </w:p>
    <w:p w14:paraId="14AB101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1.1.3.10永久占地：</w:t>
      </w:r>
      <w:r>
        <w:rPr>
          <w:rFonts w:hint="eastAsia" w:ascii="宋体" w:hAnsi="宋体" w:eastAsia="宋体" w:cs="宋体"/>
          <w:color w:val="auto"/>
          <w:sz w:val="21"/>
          <w:szCs w:val="21"/>
          <w:highlight w:val="none"/>
          <w:u w:val="single"/>
        </w:rPr>
        <w:t>指为实施本合同工程而需要的一切永久占用的土地</w:t>
      </w:r>
      <w:r>
        <w:rPr>
          <w:rFonts w:hint="eastAsia" w:ascii="宋体" w:hAnsi="宋体" w:eastAsia="宋体" w:cs="宋体"/>
          <w:color w:val="auto"/>
          <w:sz w:val="21"/>
          <w:szCs w:val="21"/>
          <w:highlight w:val="none"/>
        </w:rPr>
        <w:t>。</w:t>
      </w:r>
    </w:p>
    <w:p w14:paraId="6E1AEA4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1.1.3.11临时占地：</w:t>
      </w:r>
      <w:r>
        <w:rPr>
          <w:rFonts w:hint="eastAsia" w:ascii="宋体" w:hAnsi="宋体" w:eastAsia="宋体" w:cs="宋体"/>
          <w:color w:val="auto"/>
          <w:sz w:val="21"/>
          <w:szCs w:val="21"/>
          <w:highlight w:val="none"/>
          <w:u w:val="single"/>
        </w:rPr>
        <w:t>指为实施本合同工程而需要的一切临时占用的土地</w:t>
      </w:r>
      <w:r>
        <w:rPr>
          <w:rFonts w:hint="eastAsia" w:ascii="宋体" w:hAnsi="宋体" w:eastAsia="宋体" w:cs="宋体"/>
          <w:color w:val="auto"/>
          <w:sz w:val="21"/>
          <w:szCs w:val="21"/>
          <w:highlight w:val="none"/>
        </w:rPr>
        <w:t>。</w:t>
      </w:r>
    </w:p>
    <w:p w14:paraId="31F5915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1.1.4日期</w:t>
      </w:r>
    </w:p>
    <w:p w14:paraId="1C51021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1.1.4.5</w:t>
      </w:r>
      <w:r>
        <w:rPr>
          <w:rFonts w:hint="eastAsia" w:ascii="宋体" w:hAnsi="宋体" w:eastAsia="宋体" w:cs="宋体"/>
          <w:color w:val="auto"/>
          <w:sz w:val="21"/>
          <w:szCs w:val="21"/>
          <w:highlight w:val="none"/>
          <w:lang w:eastAsia="zh-CN"/>
        </w:rPr>
        <w:t>质保期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24 </w:t>
      </w:r>
      <w:r>
        <w:rPr>
          <w:rFonts w:hint="eastAsia" w:ascii="宋体" w:hAnsi="宋体" w:eastAsia="宋体" w:cs="宋体"/>
          <w:color w:val="auto"/>
          <w:sz w:val="21"/>
          <w:szCs w:val="21"/>
          <w:highlight w:val="none"/>
          <w:u w:val="single"/>
        </w:rPr>
        <w:t>个</w:t>
      </w:r>
      <w:r>
        <w:rPr>
          <w:rFonts w:hint="eastAsia" w:ascii="宋体" w:hAnsi="宋体" w:eastAsia="宋体" w:cs="宋体"/>
          <w:color w:val="auto"/>
          <w:sz w:val="21"/>
          <w:szCs w:val="21"/>
          <w:highlight w:val="none"/>
        </w:rPr>
        <w:t>月。</w:t>
      </w:r>
    </w:p>
    <w:p w14:paraId="559CF5B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1.1.4.8</w:t>
      </w:r>
      <w:r>
        <w:rPr>
          <w:rFonts w:hint="eastAsia" w:ascii="宋体" w:hAnsi="宋体" w:eastAsia="宋体" w:cs="宋体"/>
          <w:color w:val="auto"/>
          <w:sz w:val="21"/>
          <w:szCs w:val="21"/>
          <w:highlight w:val="none"/>
          <w:lang w:eastAsia="zh-CN"/>
        </w:rPr>
        <w:t>质保期</w:t>
      </w:r>
      <w:r>
        <w:rPr>
          <w:rFonts w:hint="eastAsia" w:ascii="宋体" w:hAnsi="宋体" w:eastAsia="宋体" w:cs="宋体"/>
          <w:color w:val="auto"/>
          <w:sz w:val="21"/>
          <w:szCs w:val="21"/>
          <w:highlight w:val="none"/>
        </w:rPr>
        <w:t>：是根据现行有关法律规定，在合同条款第19.7款中约定的由承包人负责对合同约定的保修范围内发生的质量问题履行保修义务并对造成的损失承担赔偿责任的期限。</w:t>
      </w:r>
    </w:p>
    <w:p w14:paraId="522605F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1.1.6其他</w:t>
      </w:r>
    </w:p>
    <w:p w14:paraId="18B334E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1.1.6.2材料：指构成或将构成永久工程组成部分的各类物品(工程设备除外)，包括合同中可能约定的承包人仅负责供应的材料。</w:t>
      </w:r>
    </w:p>
    <w:p w14:paraId="3B4C1CD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70068B7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1.1.6.4除另有特别指明外，专用合同条款中使用的措辞“合同条款”指通用合同条款和(或)专用合同条款。</w:t>
      </w:r>
    </w:p>
    <w:p w14:paraId="7BE6EEF8">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1.4合同文件的优先顺序</w:t>
      </w:r>
    </w:p>
    <w:p w14:paraId="2EB4F3D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合同文件的优先解释顺序如下：</w:t>
      </w:r>
    </w:p>
    <w:p w14:paraId="349A5A0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(1)合同协议书；</w:t>
      </w:r>
    </w:p>
    <w:p w14:paraId="2D26C71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75CECA0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磋商响应函</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磋商响应函</w:t>
      </w:r>
      <w:r>
        <w:rPr>
          <w:rFonts w:hint="eastAsia" w:ascii="宋体" w:hAnsi="宋体" w:eastAsia="宋体" w:cs="宋体"/>
          <w:color w:val="auto"/>
          <w:sz w:val="21"/>
          <w:szCs w:val="21"/>
          <w:highlight w:val="none"/>
        </w:rPr>
        <w:t>附录；</w:t>
      </w:r>
    </w:p>
    <w:p w14:paraId="6ED91E6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(4)专用合同条款；</w:t>
      </w:r>
    </w:p>
    <w:p w14:paraId="2FC8E87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(5)通用合同条款；</w:t>
      </w:r>
    </w:p>
    <w:p w14:paraId="43A6341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(6)技术标准和要求；</w:t>
      </w:r>
    </w:p>
    <w:p w14:paraId="2DC2EC4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(7)图纸；</w:t>
      </w:r>
    </w:p>
    <w:p w14:paraId="75BAC38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(8)已标价工程量清单；</w:t>
      </w:r>
    </w:p>
    <w:p w14:paraId="17C41C7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(9)其他合同文件。</w:t>
      </w:r>
    </w:p>
    <w:p w14:paraId="122770D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合同协议书中约定采用总价合同形式的，已标价工程量清单中的各项工程量对合同双方不具合同约束力。</w:t>
      </w:r>
    </w:p>
    <w:p w14:paraId="06B4E92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图纸与技术标准和要求之间有矛盾或者不一致的，以其中要求较严格的标准为准。</w:t>
      </w:r>
    </w:p>
    <w:p w14:paraId="293E646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合同双方在合同履行过程中签订的补充协议亦构成合同文件的组成部分，其解释顺序视其内容与其他合同文件的相互关系而定。</w:t>
      </w:r>
    </w:p>
    <w:p w14:paraId="0832CBF3">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1.5合同协议书</w:t>
      </w:r>
    </w:p>
    <w:p w14:paraId="2C5F72E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合同生效的条件：</w:t>
      </w:r>
      <w:r>
        <w:rPr>
          <w:rFonts w:hint="eastAsia" w:ascii="宋体" w:hAnsi="宋体" w:eastAsia="宋体" w:cs="宋体"/>
          <w:color w:val="auto"/>
          <w:sz w:val="21"/>
          <w:szCs w:val="21"/>
          <w:highlight w:val="none"/>
          <w:u w:val="single"/>
        </w:rPr>
        <w:t>发包人和承包人的法定代表人或其委托代理人在合同协议书上签字并盖单位章后，合同生效</w:t>
      </w:r>
      <w:r>
        <w:rPr>
          <w:rFonts w:hint="eastAsia" w:ascii="宋体" w:hAnsi="宋体" w:eastAsia="宋体" w:cs="宋体"/>
          <w:color w:val="auto"/>
          <w:sz w:val="21"/>
          <w:szCs w:val="21"/>
          <w:highlight w:val="none"/>
        </w:rPr>
        <w:t>。</w:t>
      </w:r>
    </w:p>
    <w:p w14:paraId="595935F9">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1.6图纸和承包人文件</w:t>
      </w:r>
    </w:p>
    <w:p w14:paraId="4DC109E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1.6.1图纸的提供</w:t>
      </w:r>
    </w:p>
    <w:p w14:paraId="201FC2D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(1)发包人按照合同条款本项的约定向承包人提供图纸。承包人需要增加图纸套数的，发包人应代为复制，复制费用由承包人承担。</w:t>
      </w:r>
    </w:p>
    <w:p w14:paraId="4DF4B10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7257407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(3)发包人提供图纸的期限：</w:t>
      </w:r>
      <w:r>
        <w:rPr>
          <w:rFonts w:hint="eastAsia" w:ascii="宋体" w:hAnsi="宋体" w:eastAsia="宋体" w:cs="宋体"/>
          <w:color w:val="auto"/>
          <w:sz w:val="21"/>
          <w:szCs w:val="21"/>
          <w:highlight w:val="none"/>
          <w:u w:val="single"/>
        </w:rPr>
        <w:t>开工前三天</w:t>
      </w:r>
      <w:r>
        <w:rPr>
          <w:rFonts w:hint="eastAsia" w:ascii="宋体" w:hAnsi="宋体" w:eastAsia="宋体" w:cs="宋体"/>
          <w:color w:val="auto"/>
          <w:sz w:val="21"/>
          <w:szCs w:val="21"/>
          <w:highlight w:val="none"/>
        </w:rPr>
        <w:t>。</w:t>
      </w:r>
    </w:p>
    <w:p w14:paraId="087991E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(4)发包人提供图纸的数量：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3F0DAC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1.6.2承包人提供的文件</w:t>
      </w:r>
    </w:p>
    <w:p w14:paraId="0684982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(1)除专用合同条款第4.1.10(1)目约定的由承包人提供的设计文件外，本项约定的其他应由承包人提供的文件，包括必要的加工图和大样图，均不是合同计量与支付的依据文件。</w:t>
      </w:r>
    </w:p>
    <w:p w14:paraId="0B0654B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525" w:firstLineChars="25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由承包人提供的文件范围：</w:t>
      </w:r>
      <w:r>
        <w:rPr>
          <w:rFonts w:hint="eastAsia" w:ascii="宋体" w:hAnsi="宋体" w:eastAsia="宋体" w:cs="宋体"/>
          <w:color w:val="auto"/>
          <w:sz w:val="21"/>
          <w:szCs w:val="21"/>
          <w:highlight w:val="none"/>
          <w:u w:val="single"/>
        </w:rPr>
        <w:t>需要时按发包人及监理人要求</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 xml:space="preserve">          </w:t>
      </w:r>
    </w:p>
    <w:p w14:paraId="2DE3C92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xml:space="preserve"> (2)承包人提供文件的期限：</w:t>
      </w:r>
      <w:r>
        <w:rPr>
          <w:rFonts w:hint="eastAsia" w:ascii="宋体" w:hAnsi="宋体" w:eastAsia="宋体" w:cs="宋体"/>
          <w:color w:val="auto"/>
          <w:sz w:val="21"/>
          <w:szCs w:val="21"/>
          <w:highlight w:val="none"/>
          <w:u w:val="single"/>
        </w:rPr>
        <w:t>按发包人及监理人要求</w:t>
      </w:r>
      <w:r>
        <w:rPr>
          <w:rFonts w:hint="eastAsia" w:ascii="宋体" w:hAnsi="宋体" w:eastAsia="宋体" w:cs="宋体"/>
          <w:color w:val="auto"/>
          <w:sz w:val="21"/>
          <w:szCs w:val="21"/>
          <w:highlight w:val="none"/>
          <w:u w:val="none"/>
          <w:lang w:eastAsia="zh-CN"/>
        </w:rPr>
        <w:t>。</w:t>
      </w:r>
    </w:p>
    <w:p w14:paraId="74FB0F5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xml:space="preserve"> (3)承包人提供文件的数量：</w:t>
      </w:r>
      <w:r>
        <w:rPr>
          <w:rFonts w:hint="eastAsia" w:ascii="宋体" w:hAnsi="宋体" w:eastAsia="宋体" w:cs="宋体"/>
          <w:color w:val="auto"/>
          <w:sz w:val="21"/>
          <w:szCs w:val="21"/>
          <w:highlight w:val="none"/>
          <w:u w:val="single"/>
        </w:rPr>
        <w:t>按发包人及监理人要求</w:t>
      </w:r>
      <w:r>
        <w:rPr>
          <w:rFonts w:hint="eastAsia" w:ascii="宋体" w:hAnsi="宋体" w:eastAsia="宋体" w:cs="宋体"/>
          <w:color w:val="auto"/>
          <w:sz w:val="21"/>
          <w:szCs w:val="21"/>
          <w:highlight w:val="none"/>
          <w:u w:val="none"/>
          <w:lang w:eastAsia="zh-CN"/>
        </w:rPr>
        <w:t>。</w:t>
      </w:r>
    </w:p>
    <w:p w14:paraId="5AB52B1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xml:space="preserve"> (4)监理人批复承包人提供文件的期限：</w:t>
      </w:r>
      <w:r>
        <w:rPr>
          <w:rFonts w:hint="eastAsia" w:ascii="宋体" w:hAnsi="宋体" w:eastAsia="宋体" w:cs="宋体"/>
          <w:color w:val="auto"/>
          <w:sz w:val="21"/>
          <w:szCs w:val="21"/>
          <w:highlight w:val="none"/>
          <w:u w:val="single"/>
        </w:rPr>
        <w:t>收到承包人提供的文件后7天内</w:t>
      </w:r>
      <w:r>
        <w:rPr>
          <w:rFonts w:hint="eastAsia" w:ascii="宋体" w:hAnsi="宋体" w:eastAsia="宋体" w:cs="宋体"/>
          <w:color w:val="auto"/>
          <w:sz w:val="21"/>
          <w:szCs w:val="21"/>
          <w:highlight w:val="none"/>
          <w:u w:val="none"/>
          <w:lang w:eastAsia="zh-CN"/>
        </w:rPr>
        <w:t>。</w:t>
      </w:r>
    </w:p>
    <w:p w14:paraId="7B85926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xml:space="preserve"> (5)其他约定：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none"/>
          <w:lang w:eastAsia="zh-CN"/>
        </w:rPr>
        <w:t>。</w:t>
      </w:r>
    </w:p>
    <w:p w14:paraId="0E5698A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1.6.3图纸的修改</w:t>
      </w:r>
    </w:p>
    <w:p w14:paraId="397C365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监理人应当按照合同条款第1.6.1(2)目约定的有合同约束力的图纸供应计划，签发图纸修改图给承包人。</w:t>
      </w:r>
    </w:p>
    <w:p w14:paraId="100C00AB">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1.7联络</w:t>
      </w:r>
    </w:p>
    <w:p w14:paraId="4BE27CB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1.7.2联络来往函件的送达和接收</w:t>
      </w:r>
    </w:p>
    <w:p w14:paraId="6556B57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(1)联络来往信函的送达期限：合同约定了发出期限的，送达期限为合同约定的发出期限后的24小时内；合同约定了通知、提供或者报送期限的，通知、提供或者报送期限即为送达期限。</w:t>
      </w:r>
    </w:p>
    <w:p w14:paraId="32675AD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(2)发包人指定的接收地点：</w:t>
      </w:r>
      <w:r>
        <w:rPr>
          <w:rFonts w:hint="eastAsia" w:ascii="宋体" w:hAnsi="宋体" w:eastAsia="宋体" w:cs="宋体"/>
          <w:color w:val="auto"/>
          <w:sz w:val="21"/>
          <w:szCs w:val="21"/>
          <w:highlight w:val="none"/>
          <w:u w:val="single"/>
        </w:rPr>
        <w:t>本工程现场发包人代表办公室</w:t>
      </w:r>
      <w:r>
        <w:rPr>
          <w:rFonts w:hint="eastAsia" w:ascii="宋体" w:hAnsi="宋体" w:eastAsia="宋体" w:cs="宋体"/>
          <w:color w:val="auto"/>
          <w:sz w:val="21"/>
          <w:szCs w:val="21"/>
          <w:highlight w:val="none"/>
        </w:rPr>
        <w:t>。</w:t>
      </w:r>
    </w:p>
    <w:p w14:paraId="79675F2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(3)发包人指定的接收人为：</w:t>
      </w:r>
      <w:r>
        <w:rPr>
          <w:rFonts w:hint="eastAsia" w:ascii="宋体" w:hAnsi="宋体" w:eastAsia="宋体" w:cs="宋体"/>
          <w:color w:val="auto"/>
          <w:sz w:val="21"/>
          <w:szCs w:val="21"/>
          <w:highlight w:val="none"/>
          <w:u w:val="single"/>
        </w:rPr>
        <w:t>发包人代表</w:t>
      </w:r>
      <w:r>
        <w:rPr>
          <w:rFonts w:hint="eastAsia" w:ascii="宋体" w:hAnsi="宋体" w:eastAsia="宋体" w:cs="宋体"/>
          <w:color w:val="auto"/>
          <w:sz w:val="21"/>
          <w:szCs w:val="21"/>
          <w:highlight w:val="none"/>
        </w:rPr>
        <w:t>。</w:t>
      </w:r>
    </w:p>
    <w:p w14:paraId="5C54F00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(4)监理人指定的接收地点：</w:t>
      </w:r>
      <w:r>
        <w:rPr>
          <w:rFonts w:hint="eastAsia" w:ascii="宋体" w:hAnsi="宋体" w:eastAsia="宋体" w:cs="宋体"/>
          <w:color w:val="auto"/>
          <w:sz w:val="21"/>
          <w:szCs w:val="21"/>
          <w:highlight w:val="none"/>
          <w:u w:val="single"/>
        </w:rPr>
        <w:t>本工程现场总监代表办公室</w:t>
      </w:r>
      <w:r>
        <w:rPr>
          <w:rFonts w:hint="eastAsia" w:ascii="宋体" w:hAnsi="宋体" w:eastAsia="宋体" w:cs="宋体"/>
          <w:color w:val="auto"/>
          <w:sz w:val="21"/>
          <w:szCs w:val="21"/>
          <w:highlight w:val="none"/>
        </w:rPr>
        <w:t>。</w:t>
      </w:r>
    </w:p>
    <w:p w14:paraId="232C444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(5)监理人指定的接收人为：</w:t>
      </w:r>
      <w:r>
        <w:rPr>
          <w:rFonts w:hint="eastAsia" w:ascii="宋体" w:hAnsi="宋体" w:eastAsia="宋体" w:cs="宋体"/>
          <w:color w:val="auto"/>
          <w:sz w:val="21"/>
          <w:szCs w:val="21"/>
          <w:highlight w:val="none"/>
          <w:u w:val="single"/>
        </w:rPr>
        <w:t>总监或总监代表</w:t>
      </w:r>
      <w:r>
        <w:rPr>
          <w:rFonts w:hint="eastAsia" w:ascii="宋体" w:hAnsi="宋体" w:eastAsia="宋体" w:cs="宋体"/>
          <w:color w:val="auto"/>
          <w:sz w:val="21"/>
          <w:szCs w:val="21"/>
          <w:highlight w:val="none"/>
        </w:rPr>
        <w:t>。</w:t>
      </w:r>
    </w:p>
    <w:p w14:paraId="1EE8B4D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7124C19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2A4F7A8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366B19E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2.发包人义务</w:t>
      </w:r>
    </w:p>
    <w:p w14:paraId="027FBCB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2.3提供施工场地</w:t>
      </w:r>
    </w:p>
    <w:p w14:paraId="0599828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施工场地应当在监理人发出的开工通知中载明的开工日期前</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天具备施工条件并移交给承包人，具体施工条件在第七章“技术标准和要求”第一节“一般要求”中约定。发包人最迟应当在移交施工场地的同时向承包人提供施工场地内地下管线和地下设施等有关资料，并保证资料的真实、准确和完整。</w:t>
      </w:r>
    </w:p>
    <w:p w14:paraId="54D726E2">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2.5组织设计交底</w:t>
      </w:r>
    </w:p>
    <w:p w14:paraId="0A5CB8F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当在合同条款11.1.1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516EF5EF">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2.8其他义务</w:t>
      </w:r>
    </w:p>
    <w:p w14:paraId="51E4A18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(1)按有关规定及时办理工程质量监督手续。</w:t>
      </w:r>
    </w:p>
    <w:p w14:paraId="70CFBDD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(2)根据建设行政主管部门和(或)城市建设档案管理机构的规定，收集、整理、立卷、归档工程资料，并按规定时间向建设行政主管部门或者城市建设档案管理机构移交规定的工程档案。</w:t>
      </w:r>
    </w:p>
    <w:p w14:paraId="010C526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4C11F0F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(4)发包人应当履行合同约定的其他义务以及下述义务：</w:t>
      </w:r>
      <w:r>
        <w:rPr>
          <w:rFonts w:hint="eastAsia" w:ascii="宋体" w:hAnsi="宋体" w:eastAsia="宋体" w:cs="宋体"/>
          <w:color w:val="auto"/>
          <w:sz w:val="21"/>
          <w:szCs w:val="21"/>
          <w:highlight w:val="none"/>
          <w:u w:val="single"/>
        </w:rPr>
        <w:t xml:space="preserve">                           </w:t>
      </w:r>
    </w:p>
    <w:p w14:paraId="399547BF">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3.监理人</w:t>
      </w:r>
    </w:p>
    <w:p w14:paraId="2B1D521F">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3.1监理人的职责和权力</w:t>
      </w:r>
    </w:p>
    <w:p w14:paraId="5A7D969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3.1.1须经发包人批准行使的权力：</w:t>
      </w:r>
      <w:r>
        <w:rPr>
          <w:rFonts w:hint="eastAsia" w:ascii="宋体" w:hAnsi="宋体" w:eastAsia="宋体" w:cs="宋体"/>
          <w:color w:val="auto"/>
          <w:sz w:val="21"/>
          <w:szCs w:val="21"/>
          <w:highlight w:val="none"/>
          <w:u w:val="single"/>
        </w:rPr>
        <w:t xml:space="preserve"> 涉及本工程分包、变更、费用、质量、工期的事项及监理合同中须发包人批准才能行使的监理人的权力 </w:t>
      </w:r>
      <w:r>
        <w:rPr>
          <w:rFonts w:hint="eastAsia" w:ascii="宋体" w:hAnsi="宋体" w:eastAsia="宋体" w:cs="宋体"/>
          <w:color w:val="auto"/>
          <w:sz w:val="21"/>
          <w:szCs w:val="21"/>
          <w:highlight w:val="none"/>
          <w:u w:val="none"/>
        </w:rPr>
        <w:t>。</w:t>
      </w:r>
    </w:p>
    <w:p w14:paraId="35949EA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不管通用合同条款第3.1.1项如何约定，监理人履行须经发包人批准行使的权力时，应当向承包人出示其行使该权力已经取得发包人批准的文件或者其他合法有效的证明。</w:t>
      </w:r>
    </w:p>
    <w:p w14:paraId="47A96B51">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3.3监理人员</w:t>
      </w:r>
    </w:p>
    <w:p w14:paraId="67DDF81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3.3.4总监理工程师不应将第3.5款约定应由总监理工程师作出确定的权力授权或者委托给其他监理人员。</w:t>
      </w:r>
    </w:p>
    <w:p w14:paraId="691BB0BD">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3.4监理人的指示</w:t>
      </w:r>
    </w:p>
    <w:p w14:paraId="1623F14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3.4.4除通用合同条款已有的专门约定外，承包人只能从总监理工程师或按第3.3.1项授权的监理人员处取得指示，发包人应当通过监理人向承包人发出指示。</w:t>
      </w:r>
    </w:p>
    <w:p w14:paraId="4ABAC2BD">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3.6监理人的宽恕</w:t>
      </w:r>
    </w:p>
    <w:p w14:paraId="28D6B37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553C77B5">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w:t>
      </w:r>
    </w:p>
    <w:p w14:paraId="6CBE10C7">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4.1承包人的一般义务</w:t>
      </w:r>
    </w:p>
    <w:p w14:paraId="2808492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7B1BE5E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4.1.8为他人提供方便</w:t>
      </w:r>
    </w:p>
    <w:p w14:paraId="536AF35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(1)承包人应当对在施工场地或者附近实施与合同工程有关的其他工作的独立承包人履行管理、协调、配合、照管和服务义务，由此发生的费用被认为已经包括在承包人的签约合同价(</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总报价)中，具体工作内容和要求包括：</w:t>
      </w:r>
      <w:r>
        <w:rPr>
          <w:rFonts w:hint="eastAsia" w:ascii="宋体" w:hAnsi="宋体" w:eastAsia="宋体" w:cs="宋体"/>
          <w:color w:val="auto"/>
          <w:sz w:val="21"/>
          <w:szCs w:val="21"/>
          <w:highlight w:val="none"/>
          <w:u w:val="single"/>
        </w:rPr>
        <w:t>根据施工过程中实际情况由发包人和监理人指派并审批</w:t>
      </w:r>
      <w:r>
        <w:rPr>
          <w:rFonts w:hint="eastAsia" w:ascii="宋体" w:hAnsi="宋体" w:eastAsia="宋体" w:cs="宋体"/>
          <w:color w:val="auto"/>
          <w:sz w:val="21"/>
          <w:szCs w:val="21"/>
          <w:highlight w:val="none"/>
        </w:rPr>
        <w:t>。</w:t>
      </w:r>
    </w:p>
    <w:p w14:paraId="77C7752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(2)承包人还应按监理人指示为独立承包人以外的他人在施工场地或者附近实施与合同工程有关的其他工作提供可能的条件，可能发生费用由监理人按第3.5款商定或者确定。</w:t>
      </w:r>
    </w:p>
    <w:p w14:paraId="361A589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4.1.10其他义务</w:t>
      </w:r>
    </w:p>
    <w:p w14:paraId="4DAD5DF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总报价)中。由承包人承担的施工图设计或与工程配套的设计工作内容：</w:t>
      </w:r>
      <w:r>
        <w:rPr>
          <w:rFonts w:hint="eastAsia" w:ascii="宋体" w:hAnsi="宋体" w:eastAsia="宋体" w:cs="宋体"/>
          <w:color w:val="auto"/>
          <w:sz w:val="21"/>
          <w:szCs w:val="21"/>
          <w:highlight w:val="none"/>
          <w:u w:val="single"/>
        </w:rPr>
        <w:t>需要时发包人与承包人另行约定</w:t>
      </w:r>
      <w:r>
        <w:rPr>
          <w:rFonts w:hint="eastAsia" w:ascii="宋体" w:hAnsi="宋体" w:eastAsia="宋体" w:cs="宋体"/>
          <w:color w:val="auto"/>
          <w:sz w:val="21"/>
          <w:szCs w:val="21"/>
          <w:highlight w:val="none"/>
        </w:rPr>
        <w:t>。</w:t>
      </w:r>
    </w:p>
    <w:p w14:paraId="7547BE0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(2)承包人应履行合同约定的其他义务以及下述义务：</w:t>
      </w:r>
      <w:r>
        <w:rPr>
          <w:rFonts w:hint="eastAsia" w:ascii="宋体" w:hAnsi="宋体" w:eastAsia="宋体" w:cs="宋体"/>
          <w:color w:val="auto"/>
          <w:sz w:val="21"/>
          <w:szCs w:val="21"/>
          <w:highlight w:val="none"/>
          <w:u w:val="single"/>
        </w:rPr>
        <w:t>需要时发包人与承包人另行约定</w:t>
      </w:r>
      <w:r>
        <w:rPr>
          <w:rFonts w:hint="eastAsia" w:ascii="宋体" w:hAnsi="宋体" w:eastAsia="宋体" w:cs="宋体"/>
          <w:color w:val="auto"/>
          <w:sz w:val="21"/>
          <w:szCs w:val="21"/>
          <w:highlight w:val="none"/>
        </w:rPr>
        <w:t>。</w:t>
      </w:r>
    </w:p>
    <w:p w14:paraId="3A803165">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4.2履约担保</w:t>
      </w:r>
    </w:p>
    <w:p w14:paraId="4C824F8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4.2.1履约担保的格式和金额</w:t>
      </w:r>
    </w:p>
    <w:p w14:paraId="1AE791B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承包人应在签订合同前，按照发包人在</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中规定的格式或者其他经过发包人认可的格式向发包人递交一份履约担保。经过发包人事先书面认可的其他格式的履约担保，其担保条款的实质性内容应当与发包人在</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中规定的格式内容保持一致。履约担保的金额为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。履约担保是本合同的附件。</w:t>
      </w:r>
    </w:p>
    <w:p w14:paraId="1D51C6A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4.2.2履约担保的有效期</w:t>
      </w:r>
    </w:p>
    <w:p w14:paraId="01B4AAD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6B02C97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4.2.3履约担保的退还</w:t>
      </w:r>
    </w:p>
    <w:p w14:paraId="5D1C6B5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履约担保应在监理人向承包人颁发(出具)工程接收证书之日后28天内退还给承包人。</w:t>
      </w:r>
    </w:p>
    <w:p w14:paraId="307FA1B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发包人不承担承包人与履约担保有关的任何利息或其它类似的费用或者收益。</w:t>
      </w:r>
    </w:p>
    <w:p w14:paraId="6A1ED1F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4.2.4通知义务</w:t>
      </w:r>
    </w:p>
    <w:p w14:paraId="3970CD8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管履约担保条款中如何约定，发包人根据担保条款提出索赔或兑现要求28天前，应通知承包人并说明导致此类索赔或兑现的违约性质或原因。但是，本项约定的通知不应理解为是在任何意义上寻求承包人的同意。</w:t>
      </w:r>
    </w:p>
    <w:p w14:paraId="00C46635">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4.3分包</w:t>
      </w:r>
    </w:p>
    <w:p w14:paraId="0C249C1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4.3.2发包人同意承包人分包的非主体、非关键性工作见</w:t>
      </w:r>
      <w:r>
        <w:rPr>
          <w:rFonts w:hint="eastAsia" w:ascii="宋体" w:hAnsi="宋体" w:eastAsia="宋体" w:cs="宋体"/>
          <w:color w:val="auto"/>
          <w:sz w:val="21"/>
          <w:szCs w:val="21"/>
          <w:highlight w:val="none"/>
          <w:lang w:eastAsia="zh-CN"/>
        </w:rPr>
        <w:t>磋商响应函</w:t>
      </w:r>
      <w:r>
        <w:rPr>
          <w:rFonts w:hint="eastAsia" w:ascii="宋体" w:hAnsi="宋体" w:eastAsia="宋体" w:cs="宋体"/>
          <w:color w:val="auto"/>
          <w:sz w:val="21"/>
          <w:szCs w:val="21"/>
          <w:highlight w:val="none"/>
        </w:rPr>
        <w:t>附录。除通用合同条款第4.3款的约定外，分包还应遵循以下约定：</w:t>
      </w:r>
    </w:p>
    <w:p w14:paraId="7DF49E3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w:t>
      </w:r>
      <w:r>
        <w:rPr>
          <w:rFonts w:hint="eastAsia" w:ascii="宋体" w:hAnsi="宋体" w:eastAsia="宋体" w:cs="宋体"/>
          <w:color w:val="auto"/>
          <w:sz w:val="21"/>
          <w:szCs w:val="21"/>
          <w:highlight w:val="none"/>
          <w:lang w:eastAsia="zh-CN"/>
        </w:rPr>
        <w:t>磋商响应函</w:t>
      </w:r>
      <w:r>
        <w:rPr>
          <w:rFonts w:hint="eastAsia" w:ascii="宋体" w:hAnsi="宋体" w:eastAsia="宋体" w:cs="宋体"/>
          <w:color w:val="auto"/>
          <w:sz w:val="21"/>
          <w:szCs w:val="21"/>
          <w:highlight w:val="none"/>
        </w:rPr>
        <w:t>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29EF34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在工程量清单中给定暂估价的专业工程，包括从暂列金额开支的专业工程，达到依法应当招标的规模标准的，以及虽未达到规定的规模标准但合同中约定采用分包方式或者招标方式实施的，应当按专用合同条款第15.8.1项的约定，由发包人和承包人以招标方式确定专业分包人。除项目审批部门有特别核准外，暂估价的专业工程的招标应当采用与施工总承包同样的招标方式。</w:t>
      </w:r>
    </w:p>
    <w:p w14:paraId="601E3E9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(3)在相关分包合同签订并报送有关建设行政主管部门备案后7天内，承包人应当将一份副本提交给监理人，承包人应保障分包工作不得再次分包。</w:t>
      </w:r>
    </w:p>
    <w:p w14:paraId="3B4B129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190A5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(5)未经发包人和监理人审批同意的分包工程和分包人，发包人有权拒绝验收分包工程和支付相应款项，由此引起的发包人费用增加和(或)延误的工期由发包人承担。</w:t>
      </w:r>
    </w:p>
    <w:p w14:paraId="7C7AD58D">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4.5承包人项目经理</w:t>
      </w:r>
    </w:p>
    <w:p w14:paraId="67C5C9E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3302D35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4.5.5</w:t>
      </w:r>
      <w:r>
        <w:rPr>
          <w:rFonts w:hint="eastAsia" w:ascii="宋体" w:hAnsi="宋体" w:eastAsia="宋体" w:cs="宋体"/>
          <w:b/>
          <w:bCs/>
          <w:color w:val="auto"/>
          <w:sz w:val="21"/>
          <w:szCs w:val="21"/>
          <w:highlight w:val="none"/>
          <w:u w:val="single"/>
        </w:rPr>
        <w:t>项目经理及管理班子人员名单（包括项目副经理、技术负责人、预算员、施工员、安全员等）及其专业资格证书复印件作为合同附件，其组成人员在本工程实施过程中应坚守岗位，不得另外承担其它工程项目的管理工作，未经发包人同意不得更换或撤回，否则视为承包人违约，发包人因此有权解除合同，并追究由此带来的发包人的一切损失。本工程要求项目经理本人每周不少于5天、每天至少8小时在本工程现场工作，如发现项目经理未经发包人同意，违反上述规定，每发现一次承包人支付违约金2000元。由发包人安排专人对承包人的现场人员考勤考核。不经发包人同意，项目经理不允许更换，否则承包人将支付合同价5</w:t>
      </w:r>
      <w:r>
        <w:rPr>
          <w:rFonts w:hint="eastAsia" w:ascii="宋体" w:hAnsi="宋体" w:eastAsia="宋体" w:cs="宋体"/>
          <w:b/>
          <w:color w:val="auto"/>
          <w:sz w:val="21"/>
          <w:szCs w:val="21"/>
          <w:highlight w:val="none"/>
          <w:u w:val="single"/>
        </w:rPr>
        <w:t>％的违约金</w:t>
      </w:r>
      <w:r>
        <w:rPr>
          <w:rFonts w:hint="eastAsia" w:ascii="宋体" w:hAnsi="宋体" w:eastAsia="宋体" w:cs="宋体"/>
          <w:b/>
          <w:bCs/>
          <w:color w:val="auto"/>
          <w:sz w:val="21"/>
          <w:szCs w:val="21"/>
          <w:highlight w:val="none"/>
          <w:u w:val="single"/>
        </w:rPr>
        <w:t>，并解除合同。发包人可以随时要求承包人更换不合格的项目经理。</w:t>
      </w:r>
    </w:p>
    <w:p w14:paraId="325CDF7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u w:val="single"/>
        </w:rPr>
        <w:t>本条未提到的项目经理其它权利和义务执行合同通用条款</w:t>
      </w:r>
      <w:r>
        <w:rPr>
          <w:rFonts w:hint="eastAsia" w:ascii="宋体" w:hAnsi="宋体" w:eastAsia="宋体" w:cs="宋体"/>
          <w:b/>
          <w:bCs/>
          <w:color w:val="auto"/>
          <w:sz w:val="21"/>
          <w:szCs w:val="21"/>
          <w:highlight w:val="none"/>
        </w:rPr>
        <w:t>。</w:t>
      </w:r>
    </w:p>
    <w:p w14:paraId="21025AD1">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4.11不利物质条件</w:t>
      </w:r>
    </w:p>
    <w:p w14:paraId="0AD9964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4.11.1不利物质条件的范围：</w:t>
      </w:r>
      <w:r>
        <w:rPr>
          <w:rFonts w:hint="eastAsia" w:ascii="宋体" w:hAnsi="宋体" w:eastAsia="宋体" w:cs="宋体"/>
          <w:color w:val="auto"/>
          <w:sz w:val="21"/>
          <w:szCs w:val="21"/>
          <w:highlight w:val="none"/>
          <w:u w:val="single"/>
        </w:rPr>
        <w:t>不利物质条件指承包人在施工场地遇到的不可预见的自然物质条件、非自然的物质障碍和污染物，包括地下和水文条件，但不包括气候条件。</w:t>
      </w:r>
    </w:p>
    <w:p w14:paraId="716F40A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4.11.3</w:t>
      </w:r>
      <w:r>
        <w:rPr>
          <w:rFonts w:hint="eastAsia" w:ascii="宋体" w:hAnsi="宋体" w:eastAsia="宋体" w:cs="宋体"/>
          <w:color w:val="auto"/>
          <w:sz w:val="21"/>
          <w:szCs w:val="21"/>
          <w:highlight w:val="none"/>
          <w:u w:val="single"/>
        </w:rPr>
        <w:t>在不利物质条件发生之前，监理人已经指示承包人有可能发生，但承包人未能及时采取有效措施，而导致的损失和后果均由承包人承担。</w:t>
      </w:r>
    </w:p>
    <w:p w14:paraId="2403C0A8">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5.材料和工程设备</w:t>
      </w:r>
    </w:p>
    <w:p w14:paraId="53771402">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5.1承包人提供的材料和工程设备</w:t>
      </w:r>
    </w:p>
    <w:p w14:paraId="1754BA5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承包人负责提供的主要材料和工程设备清单见合同附件二“承包人提供的材料和工程设备一览表”。</w:t>
      </w:r>
    </w:p>
    <w:p w14:paraId="12BDC68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承包人负责提供的材料和工程设备，技术标准和要求中有规定的必须优于或等同于技术标准和要求中的规定。</w:t>
      </w:r>
    </w:p>
    <w:p w14:paraId="44FB33E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用于本工程的材料必须为国标产品，符合国家产品质量标准并具备出厂合格证，并在施工时应按照规定进行检验，未经检验或者检验不合格的材料不得使用。即使经检验合格的材料用于工程，施工单位并不因此免除质量责任。</w:t>
      </w:r>
    </w:p>
    <w:p w14:paraId="4ABDAEF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承包人负责提供的主要材料和工程设备必须经发包人和承包人共同考察，经发包人确定材料品牌、规格后方可投入工程。</w:t>
      </w:r>
    </w:p>
    <w:p w14:paraId="6CF27B5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09" w:firstLineChars="1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5.1.2承包人将由其提供的材料和工程设备的供货人及品种、规格、数量和供货时间等报送监理人审批的期限：</w:t>
      </w:r>
      <w:r>
        <w:rPr>
          <w:rFonts w:hint="eastAsia" w:ascii="宋体" w:hAnsi="宋体" w:eastAsia="宋体" w:cs="宋体"/>
          <w:color w:val="auto"/>
          <w:sz w:val="21"/>
          <w:szCs w:val="21"/>
          <w:highlight w:val="none"/>
          <w:u w:val="single"/>
        </w:rPr>
        <w:t>相关分部分项工程开始施工前7天报送监理人审批。</w:t>
      </w:r>
    </w:p>
    <w:p w14:paraId="7D735022">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5.2发包人提供的材料和工程设备</w:t>
      </w:r>
    </w:p>
    <w:p w14:paraId="5601CD1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5.2.1发包人负责提供的材料和工程设备的名称、规格、数量、价格、交货方式、交货地点和计划交货日期等见合同附件三“发包人提供的材料和工程设备一览表”。</w:t>
      </w:r>
    </w:p>
    <w:p w14:paraId="3D4850F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5.2.3由发包人提供的材料和工程设备验收后，由承包人负责接收、运输和保管。</w:t>
      </w:r>
    </w:p>
    <w:p w14:paraId="0774F839">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6.施工设备和临时设施</w:t>
      </w:r>
    </w:p>
    <w:p w14:paraId="20C1AB82">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6.1承包人提供的施工设备和临时设施</w:t>
      </w:r>
    </w:p>
    <w:p w14:paraId="2BC460A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6.1.2发包人承担修建临时设施的费用的范围：</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18A0B90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需要发包人办理申请手续和承担相关费用的临时占地：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7138F8C">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6.2发包人提供的施工设备和临时设施</w:t>
      </w:r>
    </w:p>
    <w:p w14:paraId="28E3F5E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发包人提供的施工设备和临时设施：</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42266B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发包人提供的施工设备和临时设施的运行、维护、拆除、清运费用的承担人：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BBD7DDA">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6.4施工设备和临时设施专用于合同工程</w:t>
      </w:r>
    </w:p>
    <w:p w14:paraId="4171F38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6.4.1除为专用合同条款第4.1.8项约定的其他独立承包人和监理人指示的他人提供条件外，承包人运入施工场地的所有施工设备以及在施工场地建设的临时设施仅限于用于合同工程。</w:t>
      </w:r>
    </w:p>
    <w:p w14:paraId="2322453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7.交通运输</w:t>
      </w:r>
    </w:p>
    <w:p w14:paraId="5AE4C99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7.1道路通行权和场外设施</w:t>
      </w:r>
    </w:p>
    <w:p w14:paraId="109772E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取得道路通行权、场外设施修建权的办理人：</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，其相关费用由承包人承担。</w:t>
      </w:r>
    </w:p>
    <w:p w14:paraId="4B98E45E">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7.2场内施工道路</w:t>
      </w:r>
    </w:p>
    <w:p w14:paraId="7B5B298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7.2.1施工所需的场内临时道路和交通设施的修建、维护、养护和管理人：</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，相关费用由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p w14:paraId="7837E0B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7.2.2发包人和监理人有权无偿使用承包人修建的临时道路和交通设施，不需要交纳任何费用。</w:t>
      </w:r>
    </w:p>
    <w:p w14:paraId="3847C740">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7.4超大件和超重件的运输</w:t>
      </w:r>
    </w:p>
    <w:p w14:paraId="042CBEB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运输超大件或超重件所需的道路和桥梁临时加固改造等费用的承担人：</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w:t>
      </w:r>
    </w:p>
    <w:p w14:paraId="1D5039FE">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8.测量放线</w:t>
      </w:r>
    </w:p>
    <w:p w14:paraId="74A3DEB2">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8.1施工控制网</w:t>
      </w:r>
    </w:p>
    <w:p w14:paraId="7AA5E06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8.1.1发包人通过监理人提供测量基准点、基准线和水准点及其书面资料的期限：</w:t>
      </w:r>
      <w:r>
        <w:rPr>
          <w:rFonts w:hint="eastAsia" w:ascii="宋体" w:hAnsi="宋体" w:eastAsia="宋体" w:cs="宋体"/>
          <w:color w:val="auto"/>
          <w:sz w:val="21"/>
          <w:szCs w:val="21"/>
          <w:highlight w:val="none"/>
          <w:u w:val="single"/>
        </w:rPr>
        <w:t xml:space="preserve"> 开工前7天 </w:t>
      </w:r>
      <w:r>
        <w:rPr>
          <w:rFonts w:hint="eastAsia" w:ascii="宋体" w:hAnsi="宋体" w:eastAsia="宋体" w:cs="宋体"/>
          <w:color w:val="auto"/>
          <w:sz w:val="21"/>
          <w:szCs w:val="21"/>
          <w:highlight w:val="none"/>
        </w:rPr>
        <w:t>。</w:t>
      </w:r>
    </w:p>
    <w:p w14:paraId="3CA0CE1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承包人测设施工控制网的要求：</w:t>
      </w:r>
      <w:r>
        <w:rPr>
          <w:rFonts w:hint="eastAsia" w:ascii="宋体" w:hAnsi="宋体" w:eastAsia="宋体" w:cs="宋体"/>
          <w:color w:val="auto"/>
          <w:sz w:val="21"/>
          <w:szCs w:val="21"/>
          <w:highlight w:val="none"/>
          <w:u w:val="single"/>
        </w:rPr>
        <w:t xml:space="preserve">承包人应根据国家测绘基准、测绘系统和工程测量技术规范，按发包人提供的测量基准点、基准线、水准点以及发包人工程精度要求，测设施工控制网 </w:t>
      </w:r>
      <w:r>
        <w:rPr>
          <w:rFonts w:hint="eastAsia" w:ascii="宋体" w:hAnsi="宋体" w:eastAsia="宋体" w:cs="宋体"/>
          <w:color w:val="auto"/>
          <w:sz w:val="21"/>
          <w:szCs w:val="21"/>
          <w:highlight w:val="none"/>
        </w:rPr>
        <w:t>。</w:t>
      </w:r>
    </w:p>
    <w:p w14:paraId="405D061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承包人将施工控制网资料报送监理人审批的期限：</w:t>
      </w:r>
      <w:r>
        <w:rPr>
          <w:rFonts w:hint="eastAsia" w:ascii="宋体" w:hAnsi="宋体" w:eastAsia="宋体" w:cs="宋体"/>
          <w:color w:val="auto"/>
          <w:sz w:val="21"/>
          <w:szCs w:val="21"/>
          <w:highlight w:val="none"/>
          <w:u w:val="single"/>
        </w:rPr>
        <w:t xml:space="preserve"> 开工前3天 </w:t>
      </w:r>
      <w:r>
        <w:rPr>
          <w:rFonts w:hint="eastAsia" w:ascii="宋体" w:hAnsi="宋体" w:eastAsia="宋体" w:cs="宋体"/>
          <w:color w:val="auto"/>
          <w:sz w:val="21"/>
          <w:szCs w:val="21"/>
          <w:highlight w:val="none"/>
        </w:rPr>
        <w:t>。</w:t>
      </w:r>
    </w:p>
    <w:p w14:paraId="25A2CCE3">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9.施工安全、治安保卫和环境保护</w:t>
      </w:r>
    </w:p>
    <w:p w14:paraId="76276ABA">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因承包人原因施工过程中出现的一切质量、安全、人身伤亡等一切事故，均由承包人承担负责</w:t>
      </w:r>
      <w:r>
        <w:rPr>
          <w:rFonts w:hint="eastAsia" w:ascii="宋体" w:hAnsi="宋体" w:eastAsia="宋体" w:cs="宋体"/>
          <w:b/>
          <w:color w:val="auto"/>
          <w:sz w:val="21"/>
          <w:szCs w:val="21"/>
          <w:highlight w:val="none"/>
          <w:u w:val="none"/>
        </w:rPr>
        <w:t xml:space="preserve">。   </w:t>
      </w:r>
    </w:p>
    <w:p w14:paraId="354CD581">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9.2承包人的施工安全责任</w:t>
      </w:r>
    </w:p>
    <w:p w14:paraId="3597A2C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9.2.1承包人向监理人报送施工安全措施计划的期限：</w:t>
      </w:r>
      <w:r>
        <w:rPr>
          <w:rFonts w:hint="eastAsia" w:ascii="宋体" w:hAnsi="宋体" w:eastAsia="宋体" w:cs="宋体"/>
          <w:color w:val="auto"/>
          <w:sz w:val="21"/>
          <w:szCs w:val="21"/>
          <w:highlight w:val="none"/>
          <w:u w:val="single"/>
        </w:rPr>
        <w:t xml:space="preserve"> 签订施工合同后7天内 </w:t>
      </w:r>
      <w:r>
        <w:rPr>
          <w:rFonts w:hint="eastAsia" w:ascii="宋体" w:hAnsi="宋体" w:eastAsia="宋体" w:cs="宋体"/>
          <w:color w:val="auto"/>
          <w:sz w:val="21"/>
          <w:szCs w:val="21"/>
          <w:highlight w:val="none"/>
        </w:rPr>
        <w:t>。</w:t>
      </w:r>
    </w:p>
    <w:p w14:paraId="2B9A93B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监理人收到承包人报送的施工安全措施计划后应当在</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天内给予批复。</w:t>
      </w:r>
    </w:p>
    <w:p w14:paraId="2275CA0F">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9.3治安保卫</w:t>
      </w:r>
    </w:p>
    <w:p w14:paraId="1C3774A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9.3.1承包人应当负责统一管理施工场地的治安保卫事项，履行合同工程的治安保卫职责。</w:t>
      </w:r>
    </w:p>
    <w:p w14:paraId="0719ED2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9.3.3施工场地治安管理计划和突发治安事件紧急预案的编制责任人：</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w:t>
      </w:r>
    </w:p>
    <w:p w14:paraId="4F663318">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9.4环境保护</w:t>
      </w:r>
    </w:p>
    <w:p w14:paraId="1A57650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9.4.2施工环保措施计划报送监理人审批的时间：</w:t>
      </w:r>
      <w:r>
        <w:rPr>
          <w:rFonts w:hint="eastAsia" w:ascii="宋体" w:hAnsi="宋体" w:eastAsia="宋体" w:cs="宋体"/>
          <w:color w:val="auto"/>
          <w:sz w:val="21"/>
          <w:szCs w:val="21"/>
          <w:highlight w:val="none"/>
          <w:u w:val="single"/>
        </w:rPr>
        <w:t xml:space="preserve"> 签订施工合同后7天内 </w:t>
      </w:r>
      <w:r>
        <w:rPr>
          <w:rFonts w:hint="eastAsia" w:ascii="宋体" w:hAnsi="宋体" w:eastAsia="宋体" w:cs="宋体"/>
          <w:color w:val="auto"/>
          <w:sz w:val="21"/>
          <w:szCs w:val="21"/>
          <w:highlight w:val="none"/>
        </w:rPr>
        <w:t>。</w:t>
      </w:r>
    </w:p>
    <w:p w14:paraId="3F991D1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监理人收到承包人报送的施工环保措施计划后应当在</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天内给予批复。</w:t>
      </w:r>
    </w:p>
    <w:p w14:paraId="6177B210">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10.进度计划</w:t>
      </w:r>
    </w:p>
    <w:p w14:paraId="36A00FA2">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10.1合同进度计划</w:t>
      </w:r>
    </w:p>
    <w:p w14:paraId="06B7A23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宋体"/>
          <w:color w:val="auto"/>
          <w:sz w:val="21"/>
          <w:szCs w:val="21"/>
          <w:highlight w:val="none"/>
          <w:u w:val="single"/>
        </w:rPr>
        <w:t xml:space="preserve"> 承包人应按投标阶段承诺的总进度计划关键线路目标，以及施工顺序和方法要点，向监理人提交更准确更详细的施工进度计划和施工方案 </w:t>
      </w:r>
      <w:r>
        <w:rPr>
          <w:rFonts w:hint="eastAsia" w:ascii="宋体" w:hAnsi="宋体" w:eastAsia="宋体" w:cs="宋体"/>
          <w:color w:val="auto"/>
          <w:sz w:val="21"/>
          <w:szCs w:val="21"/>
          <w:highlight w:val="none"/>
        </w:rPr>
        <w:t>，施工进度计划中还应载明要求发包人组织设计人进行阶段性工程设计交底的时间。</w:t>
      </w:r>
    </w:p>
    <w:p w14:paraId="52247CF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(2)监理人批复或对施工进度计划和施工方案说明提出修改意见的期限：自监理人收到承包人报送的相关进度计划和施工方案说明后14天内。</w:t>
      </w:r>
    </w:p>
    <w:p w14:paraId="76B521A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(3)承包人编制分阶段或分项施工进度计划和施工方案说明的内容：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p>
    <w:p w14:paraId="774032F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承包人报送分阶段或分项施工进度计划和施工方案说明的期限：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39DCA6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6169DE9">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10.2合同进度计划的修订</w:t>
      </w:r>
    </w:p>
    <w:p w14:paraId="4CFCE41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(1)承包人报送修订合同进度计划申请报告和相关资料的期限：</w:t>
      </w:r>
      <w:r>
        <w:rPr>
          <w:rFonts w:hint="eastAsia" w:ascii="宋体" w:hAnsi="宋体" w:eastAsia="宋体" w:cs="宋体"/>
          <w:color w:val="auto"/>
          <w:sz w:val="21"/>
          <w:szCs w:val="21"/>
          <w:highlight w:val="none"/>
          <w:u w:val="single"/>
        </w:rPr>
        <w:t xml:space="preserve"> 实际进度发生滞后的当月25日前 </w:t>
      </w:r>
      <w:r>
        <w:rPr>
          <w:rFonts w:hint="eastAsia" w:ascii="宋体" w:hAnsi="宋体" w:eastAsia="宋体" w:cs="宋体"/>
          <w:color w:val="auto"/>
          <w:sz w:val="21"/>
          <w:szCs w:val="21"/>
          <w:highlight w:val="none"/>
          <w:u w:val="none"/>
        </w:rPr>
        <w:t>。</w:t>
      </w:r>
    </w:p>
    <w:p w14:paraId="7B30C41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(2)监理人批复修订合同进度计划申请报告的期限：</w:t>
      </w:r>
      <w:r>
        <w:rPr>
          <w:rFonts w:hint="eastAsia" w:ascii="宋体" w:hAnsi="宋体" w:eastAsia="宋体" w:cs="宋体"/>
          <w:color w:val="auto"/>
          <w:sz w:val="21"/>
          <w:szCs w:val="21"/>
          <w:highlight w:val="none"/>
          <w:u w:val="single"/>
        </w:rPr>
        <w:t xml:space="preserve"> 收到修订合同进度计划申请报告后2天内 </w:t>
      </w:r>
      <w:r>
        <w:rPr>
          <w:rFonts w:hint="eastAsia" w:ascii="宋体" w:hAnsi="宋体" w:eastAsia="宋体" w:cs="宋体"/>
          <w:color w:val="auto"/>
          <w:sz w:val="21"/>
          <w:szCs w:val="21"/>
          <w:highlight w:val="none"/>
          <w:u w:val="none"/>
        </w:rPr>
        <w:t>。</w:t>
      </w:r>
    </w:p>
    <w:p w14:paraId="51D26C9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(3)监理人批复修订合同进度计划的期限：</w:t>
      </w:r>
      <w:r>
        <w:rPr>
          <w:rFonts w:hint="eastAsia" w:ascii="宋体" w:hAnsi="宋体" w:eastAsia="宋体" w:cs="宋体"/>
          <w:color w:val="auto"/>
          <w:sz w:val="21"/>
          <w:szCs w:val="21"/>
          <w:highlight w:val="none"/>
          <w:u w:val="single"/>
        </w:rPr>
        <w:t xml:space="preserve"> 收到修订合同进度计划后3天内 </w:t>
      </w:r>
      <w:r>
        <w:rPr>
          <w:rFonts w:hint="eastAsia" w:ascii="宋体" w:hAnsi="宋体" w:eastAsia="宋体" w:cs="宋体"/>
          <w:color w:val="auto"/>
          <w:sz w:val="21"/>
          <w:szCs w:val="21"/>
          <w:highlight w:val="none"/>
        </w:rPr>
        <w:t>。</w:t>
      </w:r>
    </w:p>
    <w:p w14:paraId="672EB5DB">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11.开工和竣工</w:t>
      </w:r>
    </w:p>
    <w:p w14:paraId="7313AABF">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11.3发包人的工期延误</w:t>
      </w:r>
    </w:p>
    <w:p w14:paraId="1F2B737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(7)因发包人原因不能按照监理人发出的开工通知中载明的开工日期开工。除发包人原因延期开工外，发包人造成工期延误的其他原因还包括：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等延误承包人关键线路工作的情况。</w:t>
      </w:r>
    </w:p>
    <w:p w14:paraId="2739983B">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11.4异常恶劣的气候条件</w:t>
      </w:r>
    </w:p>
    <w:p w14:paraId="438295B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异常恶劣的气候条件的范围和标准：</w:t>
      </w:r>
      <w:r>
        <w:rPr>
          <w:rFonts w:hint="eastAsia" w:ascii="宋体" w:hAnsi="宋体" w:eastAsia="宋体" w:cs="宋体"/>
          <w:color w:val="auto"/>
          <w:sz w:val="21"/>
          <w:szCs w:val="21"/>
          <w:highlight w:val="none"/>
          <w:u w:val="single"/>
        </w:rPr>
        <w:t xml:space="preserve"> 项目所在地20年以上一遇的罕见气候现象（包括温度、降水、降雪、风等）</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DD369A6">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11.5承包人的工期延误</w:t>
      </w:r>
    </w:p>
    <w:p w14:paraId="67D6982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0623AB0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逾期竣工违约金的计算标准：</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工期每误期一天支付违约金</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00元</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none"/>
        </w:rPr>
        <w:t>。</w:t>
      </w:r>
      <w:r>
        <w:rPr>
          <w:rFonts w:hint="eastAsia" w:ascii="宋体" w:hAnsi="宋体" w:eastAsia="宋体" w:cs="宋体"/>
          <w:color w:val="auto"/>
          <w:sz w:val="21"/>
          <w:szCs w:val="21"/>
          <w:highlight w:val="none"/>
          <w:u w:val="none"/>
        </w:rPr>
        <w:t xml:space="preserve">             </w:t>
      </w:r>
    </w:p>
    <w:p w14:paraId="28F5821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逾期竣工违约金的计算方法：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工期每误期一天支付违约金</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00元</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none"/>
        </w:rPr>
        <w:t>。</w:t>
      </w:r>
      <w:r>
        <w:rPr>
          <w:rFonts w:hint="eastAsia" w:ascii="宋体" w:hAnsi="宋体" w:eastAsia="宋体" w:cs="宋体"/>
          <w:color w:val="auto"/>
          <w:sz w:val="21"/>
          <w:szCs w:val="21"/>
          <w:highlight w:val="none"/>
          <w:u w:val="none"/>
        </w:rPr>
        <w:t xml:space="preserve">             </w:t>
      </w:r>
    </w:p>
    <w:p w14:paraId="35D82FB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逾期竣工违约金的限额：</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最高赔偿金额不超过签约合同总价的</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none"/>
          <w:lang w:eastAsia="zh-CN"/>
        </w:rPr>
        <w:t>。</w:t>
      </w:r>
    </w:p>
    <w:p w14:paraId="7B28E232">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11.6工期提前</w:t>
      </w:r>
    </w:p>
    <w:p w14:paraId="31E34DC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提前竣工的奖励办法：</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130403DF">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12.暂停施工</w:t>
      </w:r>
    </w:p>
    <w:p w14:paraId="2F05452D">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12.1承包人暂停施工的责任</w:t>
      </w:r>
    </w:p>
    <w:p w14:paraId="50D849C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(5)承包人承担暂停施工责任的其他情形：</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A983CB1">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12.4暂停施工后的复工</w:t>
      </w:r>
    </w:p>
    <w:p w14:paraId="1A76138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12.4.3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7140CBD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1014195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13.工程质量</w:t>
      </w:r>
    </w:p>
    <w:p w14:paraId="734372B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13.1工程质量要求</w:t>
      </w:r>
    </w:p>
    <w:p w14:paraId="5EB19AC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在工程施工过程中，因承包人偷工减料，使用劣质材料、不合格设备，或因技术、管理等自身原因，造成工程质量达不到合同约定验收标准的，</w:t>
      </w:r>
      <w:r>
        <w:rPr>
          <w:rFonts w:hint="eastAsia" w:ascii="宋体" w:hAnsi="宋体" w:eastAsia="宋体" w:cs="宋体"/>
          <w:b/>
          <w:color w:val="auto"/>
          <w:sz w:val="21"/>
          <w:szCs w:val="21"/>
          <w:highlight w:val="none"/>
          <w:u w:val="single"/>
          <w:lang w:eastAsia="zh-CN"/>
        </w:rPr>
        <w:t>采购人</w:t>
      </w:r>
      <w:r>
        <w:rPr>
          <w:rFonts w:hint="eastAsia" w:ascii="宋体" w:hAnsi="宋体" w:eastAsia="宋体" w:cs="宋体"/>
          <w:b/>
          <w:color w:val="auto"/>
          <w:sz w:val="21"/>
          <w:szCs w:val="21"/>
          <w:highlight w:val="none"/>
          <w:u w:val="single"/>
        </w:rPr>
        <w:t>和监理人有权要求承包人返工直至符合合同要求为止，由此造成的费用增加或工期延误由承包人承担</w:t>
      </w:r>
      <w:r>
        <w:rPr>
          <w:rFonts w:hint="eastAsia" w:ascii="宋体" w:hAnsi="宋体" w:eastAsia="宋体" w:cs="宋体"/>
          <w:b/>
          <w:color w:val="auto"/>
          <w:sz w:val="21"/>
          <w:szCs w:val="21"/>
          <w:highlight w:val="none"/>
          <w:u w:val="none"/>
        </w:rPr>
        <w:t>。</w:t>
      </w:r>
    </w:p>
    <w:p w14:paraId="05261C21">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13.2承包人的质量管理</w:t>
      </w:r>
    </w:p>
    <w:p w14:paraId="659CCB3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13.2.1承包人向监理人提交工程质量保证措施文件的期限：</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签订施工合同后7天内</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C7F3F1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监理人审批工程质量保证措施文件的期限：</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收到承包人报送的工程质量保证措施文件后3天内给予批复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4CD5E6E">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13.3承包人的质量检查 </w:t>
      </w:r>
    </w:p>
    <w:p w14:paraId="7AB12AD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承包人向监理人报送工程质量报表的期限：</w:t>
      </w:r>
      <w:r>
        <w:rPr>
          <w:rFonts w:hint="eastAsia" w:ascii="宋体" w:hAnsi="宋体" w:eastAsia="宋体" w:cs="宋体"/>
          <w:color w:val="auto"/>
          <w:sz w:val="21"/>
          <w:szCs w:val="21"/>
          <w:highlight w:val="none"/>
          <w:u w:val="single"/>
        </w:rPr>
        <w:t xml:space="preserve"> 每月25日前 </w:t>
      </w:r>
      <w:r>
        <w:rPr>
          <w:rFonts w:hint="eastAsia" w:ascii="宋体" w:hAnsi="宋体" w:eastAsia="宋体" w:cs="宋体"/>
          <w:color w:val="auto"/>
          <w:sz w:val="21"/>
          <w:szCs w:val="21"/>
          <w:highlight w:val="none"/>
        </w:rPr>
        <w:t>。</w:t>
      </w:r>
    </w:p>
    <w:p w14:paraId="5DB61D4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承包人向监理人报送工程质量报表的要求：</w:t>
      </w:r>
      <w:r>
        <w:rPr>
          <w:rFonts w:hint="eastAsia" w:ascii="宋体" w:hAnsi="宋体" w:eastAsia="宋体" w:cs="宋体"/>
          <w:color w:val="auto"/>
          <w:sz w:val="21"/>
          <w:szCs w:val="21"/>
          <w:highlight w:val="none"/>
          <w:u w:val="single"/>
        </w:rPr>
        <w:t xml:space="preserve"> 按规范及监理人要求 </w:t>
      </w:r>
      <w:r>
        <w:rPr>
          <w:rFonts w:hint="eastAsia" w:ascii="宋体" w:hAnsi="宋体" w:eastAsia="宋体" w:cs="宋体"/>
          <w:color w:val="auto"/>
          <w:sz w:val="21"/>
          <w:szCs w:val="21"/>
          <w:highlight w:val="none"/>
        </w:rPr>
        <w:t>。</w:t>
      </w:r>
    </w:p>
    <w:p w14:paraId="0826BB8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监理人审查工程质量报表的期限：</w:t>
      </w:r>
      <w:r>
        <w:rPr>
          <w:rFonts w:hint="eastAsia" w:ascii="宋体" w:hAnsi="宋体" w:eastAsia="宋体" w:cs="宋体"/>
          <w:color w:val="auto"/>
          <w:sz w:val="21"/>
          <w:szCs w:val="21"/>
          <w:highlight w:val="none"/>
          <w:u w:val="single"/>
        </w:rPr>
        <w:t xml:space="preserve"> 收到承包人报送的工程质量报表后3天内 </w:t>
      </w:r>
      <w:r>
        <w:rPr>
          <w:rFonts w:hint="eastAsia" w:ascii="宋体" w:hAnsi="宋体" w:eastAsia="宋体" w:cs="宋体"/>
          <w:color w:val="auto"/>
          <w:sz w:val="21"/>
          <w:szCs w:val="21"/>
          <w:highlight w:val="none"/>
        </w:rPr>
        <w:t>。</w:t>
      </w:r>
    </w:p>
    <w:p w14:paraId="2F814FBD">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13.4监理人的质量检查</w:t>
      </w:r>
    </w:p>
    <w:p w14:paraId="7E20A3B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承包人应当为监理人的检查和检验提供方便，监理人可以进行察看和查阅施工原始记录的其他地方包括：</w:t>
      </w:r>
      <w:r>
        <w:rPr>
          <w:rFonts w:hint="eastAsia" w:ascii="宋体" w:hAnsi="宋体" w:eastAsia="宋体" w:cs="宋体"/>
          <w:color w:val="auto"/>
          <w:sz w:val="21"/>
          <w:szCs w:val="21"/>
          <w:highlight w:val="none"/>
          <w:u w:val="single"/>
        </w:rPr>
        <w:t xml:space="preserve"> 不属于承包人的车间或场所 </w:t>
      </w:r>
      <w:r>
        <w:rPr>
          <w:rFonts w:hint="eastAsia" w:ascii="宋体" w:hAnsi="宋体" w:eastAsia="宋体" w:cs="宋体"/>
          <w:color w:val="auto"/>
          <w:sz w:val="21"/>
          <w:szCs w:val="21"/>
          <w:highlight w:val="none"/>
        </w:rPr>
        <w:t>。</w:t>
      </w:r>
    </w:p>
    <w:p w14:paraId="6EF555B7">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13.5工程隐蔽部位覆盖前的检查</w:t>
      </w:r>
    </w:p>
    <w:p w14:paraId="7F8B40E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13.5.1监理人对工程隐蔽部位进行检查的期限：</w:t>
      </w:r>
      <w:r>
        <w:rPr>
          <w:rFonts w:hint="eastAsia" w:ascii="宋体" w:hAnsi="宋体" w:eastAsia="宋体" w:cs="宋体"/>
          <w:color w:val="auto"/>
          <w:sz w:val="21"/>
          <w:szCs w:val="21"/>
          <w:highlight w:val="none"/>
          <w:u w:val="single"/>
        </w:rPr>
        <w:t xml:space="preserve"> 收到承包人的通知后3天内 </w:t>
      </w:r>
      <w:r>
        <w:rPr>
          <w:rFonts w:hint="eastAsia" w:ascii="宋体" w:hAnsi="宋体" w:eastAsia="宋体" w:cs="宋体"/>
          <w:color w:val="auto"/>
          <w:sz w:val="21"/>
          <w:szCs w:val="21"/>
          <w:highlight w:val="none"/>
        </w:rPr>
        <w:t>。</w:t>
      </w:r>
    </w:p>
    <w:p w14:paraId="173F7E77">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13.7质量争议</w:t>
      </w:r>
    </w:p>
    <w:p w14:paraId="56CD9F7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61F19BC5">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15.变更</w:t>
      </w:r>
    </w:p>
    <w:p w14:paraId="3FAFADC0">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15.1变更的范围和内容</w:t>
      </w:r>
    </w:p>
    <w:p w14:paraId="5333D5E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应当进行变更的其他情形：</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发包方与承包方根据实际情况另行约定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E470AF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背通用合同条款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50590B39">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15.3变更程序</w:t>
      </w:r>
    </w:p>
    <w:p w14:paraId="21D9295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15.3.2变更估价</w:t>
      </w:r>
    </w:p>
    <w:p w14:paraId="38A117C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(1)承包人提交变更报价书的期限：</w:t>
      </w:r>
      <w:r>
        <w:rPr>
          <w:rFonts w:hint="eastAsia" w:ascii="宋体" w:hAnsi="宋体" w:eastAsia="宋体" w:cs="宋体"/>
          <w:color w:val="auto"/>
          <w:sz w:val="21"/>
          <w:szCs w:val="21"/>
          <w:highlight w:val="none"/>
          <w:u w:val="single"/>
        </w:rPr>
        <w:t xml:space="preserve"> 按政府工程变更报批程序办理 </w:t>
      </w:r>
      <w:r>
        <w:rPr>
          <w:rFonts w:hint="eastAsia" w:ascii="宋体" w:hAnsi="宋体" w:eastAsia="宋体" w:cs="宋体"/>
          <w:color w:val="auto"/>
          <w:sz w:val="21"/>
          <w:szCs w:val="21"/>
          <w:highlight w:val="none"/>
        </w:rPr>
        <w:t>。</w:t>
      </w:r>
    </w:p>
    <w:p w14:paraId="4EF4219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(3)监理人商定或确定变更价格的期限：</w:t>
      </w:r>
      <w:r>
        <w:rPr>
          <w:rFonts w:hint="eastAsia" w:ascii="宋体" w:hAnsi="宋体" w:eastAsia="宋体" w:cs="宋体"/>
          <w:color w:val="auto"/>
          <w:sz w:val="21"/>
          <w:szCs w:val="21"/>
          <w:highlight w:val="none"/>
          <w:u w:val="single"/>
        </w:rPr>
        <w:t xml:space="preserve"> 按政府工程变更报批程序办理 </w:t>
      </w:r>
      <w:r>
        <w:rPr>
          <w:rFonts w:hint="eastAsia" w:ascii="宋体" w:hAnsi="宋体" w:eastAsia="宋体" w:cs="宋体"/>
          <w:color w:val="auto"/>
          <w:sz w:val="21"/>
          <w:szCs w:val="21"/>
          <w:highlight w:val="none"/>
        </w:rPr>
        <w:t>。</w:t>
      </w:r>
    </w:p>
    <w:p w14:paraId="013F9FB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(4)收到变更指示后，如承包人未在规定的期限内提交变更报价书的，监理人可自行决定是否调整合同价款以及如果监理人决定调整合同价款时，相应调整的具体金额。</w:t>
      </w:r>
    </w:p>
    <w:p w14:paraId="2DB7FABB">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15.4变更的估价原则</w:t>
      </w:r>
    </w:p>
    <w:p w14:paraId="62F0BD0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15.4.4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51059F7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15.4.5合同协议书约定采用单价合同形式时，因非承包人原因引起已标价工程量清单中列明的工程量发生增减，按政府工程变更报批程序办理。</w:t>
      </w:r>
    </w:p>
    <w:p w14:paraId="5587AD7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15.4.6因变更引起价格调整的其他处理方式：</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因设计变更（含专业工程二次设计）、追加工程、工程量清单漏项等新增加的工程量清单项目，由项目责任单位组织按照该工程</w:t>
      </w:r>
      <w:r>
        <w:rPr>
          <w:rFonts w:hint="eastAsia" w:ascii="宋体" w:hAnsi="宋体" w:eastAsia="宋体" w:cs="宋体"/>
          <w:b/>
          <w:color w:val="auto"/>
          <w:sz w:val="21"/>
          <w:szCs w:val="21"/>
          <w:highlight w:val="none"/>
          <w:u w:val="single"/>
          <w:lang w:eastAsia="zh-CN"/>
        </w:rPr>
        <w:t>采购控制价</w:t>
      </w:r>
      <w:r>
        <w:rPr>
          <w:rFonts w:hint="eastAsia" w:ascii="宋体" w:hAnsi="宋体" w:eastAsia="宋体" w:cs="宋体"/>
          <w:b/>
          <w:color w:val="auto"/>
          <w:sz w:val="21"/>
          <w:szCs w:val="21"/>
          <w:highlight w:val="none"/>
          <w:u w:val="single"/>
        </w:rPr>
        <w:t>的编制原则、编制依据、编制方法，编制该新增项目的工程预算，经项目责任单位确认并提报财政部门或者审计部门审核后，已经招标的工程项目按照不低于招标时的下浮率且不低于5%的比率、根据相关规定通过</w:t>
      </w:r>
      <w:r>
        <w:rPr>
          <w:rFonts w:hint="eastAsia" w:ascii="宋体" w:hAnsi="宋体" w:eastAsia="宋体" w:cs="宋体"/>
          <w:b/>
          <w:color w:val="auto"/>
          <w:sz w:val="21"/>
          <w:szCs w:val="21"/>
          <w:highlight w:val="none"/>
          <w:u w:val="single"/>
          <w:lang w:eastAsia="zh-CN"/>
        </w:rPr>
        <w:t>磋商</w:t>
      </w:r>
      <w:r>
        <w:rPr>
          <w:rFonts w:hint="eastAsia" w:ascii="宋体" w:hAnsi="宋体" w:eastAsia="宋体" w:cs="宋体"/>
          <w:b/>
          <w:color w:val="auto"/>
          <w:sz w:val="21"/>
          <w:szCs w:val="21"/>
          <w:highlight w:val="none"/>
          <w:u w:val="single"/>
        </w:rPr>
        <w:t>等方式确定该新增项目的合同价款；未招标的工程项目按照不低于5%的下浮率、根据相关规定通过招标或者</w:t>
      </w:r>
      <w:r>
        <w:rPr>
          <w:rFonts w:hint="eastAsia" w:ascii="宋体" w:hAnsi="宋体" w:eastAsia="宋体" w:cs="宋体"/>
          <w:b/>
          <w:color w:val="auto"/>
          <w:sz w:val="21"/>
          <w:szCs w:val="21"/>
          <w:highlight w:val="none"/>
          <w:u w:val="single"/>
          <w:lang w:eastAsia="zh-CN"/>
        </w:rPr>
        <w:t>磋商</w:t>
      </w:r>
      <w:r>
        <w:rPr>
          <w:rFonts w:hint="eastAsia" w:ascii="宋体" w:hAnsi="宋体" w:eastAsia="宋体" w:cs="宋体"/>
          <w:b/>
          <w:color w:val="auto"/>
          <w:sz w:val="21"/>
          <w:szCs w:val="21"/>
          <w:highlight w:val="none"/>
          <w:u w:val="single"/>
        </w:rPr>
        <w:t>等方式确定该新增项目的合同价款</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none"/>
        </w:rPr>
        <w:t>。</w:t>
      </w:r>
    </w:p>
    <w:p w14:paraId="0369F08B">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15.5承包人的合理化建议</w:t>
      </w:r>
    </w:p>
    <w:p w14:paraId="2EDF416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15.5.2对承包人提出合理化建议的奖励方法：</w:t>
      </w:r>
      <w:r>
        <w:rPr>
          <w:rFonts w:hint="eastAsia" w:ascii="宋体" w:hAnsi="宋体" w:eastAsia="宋体" w:cs="宋体"/>
          <w:color w:val="auto"/>
          <w:sz w:val="21"/>
          <w:szCs w:val="21"/>
          <w:highlight w:val="none"/>
          <w:u w:val="single"/>
        </w:rPr>
        <w:t xml:space="preserve"> 无 </w:t>
      </w:r>
    </w:p>
    <w:p w14:paraId="51C026AD">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15.8暂估价</w:t>
      </w:r>
    </w:p>
    <w:p w14:paraId="7E6D095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15.8.1按合同约定应当由发包人和承包人采用招标方式选择专项供应商或专业分包人的，应当由承包人作为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，依法组织招标工作并接受有管辖权的建设工程招标投标行政监督部门的监督。与组织招标工作有关的费用应当被认为已经包括在承包人的签约合同价(</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总报价)中：</w:t>
      </w:r>
    </w:p>
    <w:p w14:paraId="3BFFF38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(1)在任何招标工作启动前，承包人应当提前至少</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天编制招标工作计划并通过监理人报请发包人审批，招标工作计划应当包括招标工作的时间安排、拟采用的招标方式、拟采用的资格审查方法、主要招标过程文件的编制内容、对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的资格条件要求、评标标准和方法、评标委员会组成、是否编制</w:t>
      </w:r>
      <w:r>
        <w:rPr>
          <w:rFonts w:hint="eastAsia" w:ascii="宋体" w:hAnsi="宋体" w:eastAsia="宋体" w:cs="宋体"/>
          <w:color w:val="auto"/>
          <w:sz w:val="21"/>
          <w:szCs w:val="21"/>
          <w:highlight w:val="none"/>
          <w:lang w:eastAsia="zh-CN"/>
        </w:rPr>
        <w:t>采购控制价</w:t>
      </w:r>
      <w:r>
        <w:rPr>
          <w:rFonts w:hint="eastAsia" w:ascii="宋体" w:hAnsi="宋体" w:eastAsia="宋体" w:cs="宋体"/>
          <w:color w:val="auto"/>
          <w:sz w:val="21"/>
          <w:szCs w:val="21"/>
          <w:highlight w:val="none"/>
        </w:rPr>
        <w:t>和(或)标底以及</w:t>
      </w:r>
      <w:r>
        <w:rPr>
          <w:rFonts w:hint="eastAsia" w:ascii="宋体" w:hAnsi="宋体" w:eastAsia="宋体" w:cs="宋体"/>
          <w:color w:val="auto"/>
          <w:sz w:val="21"/>
          <w:szCs w:val="21"/>
          <w:highlight w:val="none"/>
          <w:lang w:eastAsia="zh-CN"/>
        </w:rPr>
        <w:t>采购控制价</w:t>
      </w:r>
      <w:r>
        <w:rPr>
          <w:rFonts w:hint="eastAsia" w:ascii="宋体" w:hAnsi="宋体" w:eastAsia="宋体" w:cs="宋体"/>
          <w:color w:val="auto"/>
          <w:sz w:val="21"/>
          <w:szCs w:val="21"/>
          <w:highlight w:val="none"/>
        </w:rPr>
        <w:t>和(或)标底编制原则，发包人应当在监理人收到承包人报送的招标工作计划后</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天内给予批准或者提出修改意见。承包人应当严格按照经过发包人批准的招标工作计划开展招标工作。</w:t>
      </w:r>
    </w:p>
    <w:p w14:paraId="499B461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(2)承包人应当在发出招标公告(或者资格预审公告或者投标邀请书)、资格预审文件和</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前至少</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天，分别将相关文件通过监理人报请发包人审批，发包人应当在监理人收到承包人报送的相关文件后</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157172F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(3)如果发、承包任何一方委派评标代表，评标委员会应当由七人以上单数构成。除发包人或者承包人自愿放弃委派评标代表的权利外，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评标代表应当分别由发包人和承包人等额委派。</w:t>
      </w:r>
    </w:p>
    <w:p w14:paraId="3FA33CD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2BCEC05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(5)设有</w:t>
      </w:r>
      <w:r>
        <w:rPr>
          <w:rFonts w:hint="eastAsia" w:ascii="宋体" w:hAnsi="宋体" w:eastAsia="宋体" w:cs="宋体"/>
          <w:color w:val="auto"/>
          <w:sz w:val="21"/>
          <w:szCs w:val="21"/>
          <w:highlight w:val="none"/>
          <w:lang w:eastAsia="zh-CN"/>
        </w:rPr>
        <w:t>采购控制价</w:t>
      </w:r>
      <w:r>
        <w:rPr>
          <w:rFonts w:hint="eastAsia" w:ascii="宋体" w:hAnsi="宋体" w:eastAsia="宋体" w:cs="宋体"/>
          <w:color w:val="auto"/>
          <w:sz w:val="21"/>
          <w:szCs w:val="21"/>
          <w:highlight w:val="none"/>
        </w:rPr>
        <w:t>的，承包人应当在</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发出前提前7天将</w:t>
      </w:r>
      <w:r>
        <w:rPr>
          <w:rFonts w:hint="eastAsia" w:ascii="宋体" w:hAnsi="宋体" w:eastAsia="宋体" w:cs="宋体"/>
          <w:color w:val="auto"/>
          <w:sz w:val="21"/>
          <w:szCs w:val="21"/>
          <w:highlight w:val="none"/>
          <w:lang w:eastAsia="zh-CN"/>
        </w:rPr>
        <w:t>采购控制价</w:t>
      </w:r>
      <w:r>
        <w:rPr>
          <w:rFonts w:hint="eastAsia" w:ascii="宋体" w:hAnsi="宋体" w:eastAsia="宋体" w:cs="宋体"/>
          <w:color w:val="auto"/>
          <w:sz w:val="21"/>
          <w:szCs w:val="21"/>
          <w:highlight w:val="none"/>
        </w:rPr>
        <w:t>报发包人审核认可，发包人应当在收到承包人报送的</w:t>
      </w:r>
      <w:r>
        <w:rPr>
          <w:rFonts w:hint="eastAsia" w:ascii="宋体" w:hAnsi="宋体" w:eastAsia="宋体" w:cs="宋体"/>
          <w:color w:val="auto"/>
          <w:sz w:val="21"/>
          <w:szCs w:val="21"/>
          <w:highlight w:val="none"/>
          <w:lang w:eastAsia="zh-CN"/>
        </w:rPr>
        <w:t>采购控制价</w:t>
      </w:r>
      <w:r>
        <w:rPr>
          <w:rFonts w:hint="eastAsia" w:ascii="宋体" w:hAnsi="宋体" w:eastAsia="宋体" w:cs="宋体"/>
          <w:color w:val="auto"/>
          <w:sz w:val="21"/>
          <w:szCs w:val="21"/>
          <w:highlight w:val="none"/>
        </w:rPr>
        <w:t>后72小时内给予认可或者提出修改意见。</w:t>
      </w:r>
      <w:r>
        <w:rPr>
          <w:rFonts w:hint="eastAsia" w:ascii="宋体" w:hAnsi="宋体" w:eastAsia="宋体" w:cs="宋体"/>
          <w:color w:val="auto"/>
          <w:sz w:val="21"/>
          <w:szCs w:val="21"/>
          <w:highlight w:val="none"/>
          <w:lang w:eastAsia="zh-CN"/>
        </w:rPr>
        <w:t>采购控制价</w:t>
      </w:r>
      <w:r>
        <w:rPr>
          <w:rFonts w:hint="eastAsia" w:ascii="宋体" w:hAnsi="宋体" w:eastAsia="宋体" w:cs="宋体"/>
          <w:color w:val="auto"/>
          <w:sz w:val="21"/>
          <w:szCs w:val="21"/>
          <w:highlight w:val="none"/>
        </w:rPr>
        <w:t>的最终审核和决定权属于发包人，未经发包人认可，承包人不得发出</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w:t>
      </w:r>
    </w:p>
    <w:p w14:paraId="71CF4D2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6CB28AF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(7)承包人与专业分包人或者专项供应商订立合同前</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天，应当将准备用于正式签订的合同文件通过监理人报发包人审核，发包人应当在监理人收到相关文件后</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天内给予批准或者提出修改意见，承包人应当按照发包人批准的合同文件签订相关合同，合同订立后</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天内，承包人应当将其中的两份副本报送监理人，其中一份由监理人报发包人留存。</w:t>
      </w:r>
    </w:p>
    <w:p w14:paraId="1109BAC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(8)发包人对承包人报送文件进行审批或提出的修改意见应当合理，并符合现行有关法律法规的规定。</w:t>
      </w:r>
    </w:p>
    <w:p w14:paraId="73F4807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7CD0918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15.8.2发包人在工程量清单中给定暂估价的材料和工程设备不属于依法必须招标的范围或未达到规定的规模标准的，按照下列约定：</w:t>
      </w:r>
      <w:r>
        <w:rPr>
          <w:rFonts w:hint="eastAsia" w:ascii="宋体" w:hAnsi="宋体" w:eastAsia="宋体" w:cs="宋体"/>
          <w:color w:val="auto"/>
          <w:sz w:val="21"/>
          <w:szCs w:val="21"/>
          <w:highlight w:val="none"/>
          <w:u w:val="single"/>
          <w:lang w:val="en-US" w:eastAsia="zh-CN"/>
        </w:rPr>
        <w:t xml:space="preserve"> / </w:t>
      </w:r>
    </w:p>
    <w:p w14:paraId="47DA261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b/>
          <w:color w:val="auto"/>
          <w:sz w:val="21"/>
          <w:szCs w:val="21"/>
          <w:highlight w:val="none"/>
          <w:u w:val="single"/>
          <w:lang w:val="en-US" w:eastAsia="zh-CN"/>
        </w:rPr>
      </w:pPr>
      <w:r>
        <w:rPr>
          <w:rFonts w:hint="eastAsia" w:ascii="宋体" w:hAnsi="宋体" w:eastAsia="宋体" w:cs="宋体"/>
          <w:color w:val="auto"/>
          <w:sz w:val="21"/>
          <w:szCs w:val="21"/>
          <w:highlight w:val="none"/>
        </w:rPr>
        <w:t>15.8.3发包人在工程量清单中给定暂估价的专业工程不属于依法必须招标的范围或者未达到依法必须招标的规模标准的，按照下列约定：</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val="en-US" w:eastAsia="zh-CN"/>
        </w:rPr>
        <w:t xml:space="preserve"> </w:t>
      </w:r>
    </w:p>
    <w:p w14:paraId="2393CB1C">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16.价格调整</w:t>
      </w:r>
    </w:p>
    <w:p w14:paraId="37552CA8">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16.1物价波动引起的价格调整</w:t>
      </w:r>
    </w:p>
    <w:p w14:paraId="7C793ECF">
      <w:pPr>
        <w:keepNext w:val="0"/>
        <w:keepLines w:val="0"/>
        <w:pageBreakBefore w:val="0"/>
        <w:widowControl w:val="0"/>
        <w:kinsoku/>
        <w:wordWrap w:val="0"/>
        <w:overflowPunct/>
        <w:topLinePunct/>
        <w:autoSpaceDE/>
        <w:autoSpaceDN/>
        <w:bidi w:val="0"/>
        <w:adjustRightInd w:val="0"/>
        <w:snapToGrid w:val="0"/>
        <w:spacing w:afterAutospacing="0"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物价波动引起的价格调整方法：</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不调整</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none"/>
        </w:rPr>
        <w:t>。</w:t>
      </w:r>
    </w:p>
    <w:p w14:paraId="0F6F02C0">
      <w:pPr>
        <w:pStyle w:val="5"/>
        <w:keepNext w:val="0"/>
        <w:keepLines w:val="0"/>
        <w:pageBreakBefore w:val="0"/>
        <w:widowControl w:val="0"/>
        <w:kinsoku/>
        <w:wordWrap w:val="0"/>
        <w:overflowPunct/>
        <w:topLinePunct/>
        <w:autoSpaceDE/>
        <w:autoSpaceDN/>
        <w:bidi w:val="0"/>
        <w:adjustRightInd w:val="0"/>
        <w:snapToGrid w:val="0"/>
        <w:spacing w:beforeAutospacing="0"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17.计量与支付</w:t>
      </w:r>
    </w:p>
    <w:p w14:paraId="0D107DD1">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17.1计量</w:t>
      </w:r>
    </w:p>
    <w:p w14:paraId="0A18A07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17.1.2计量方法</w:t>
      </w:r>
    </w:p>
    <w:p w14:paraId="55A717C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工程量计算规则执行国家标准《</w:t>
      </w:r>
      <w:r>
        <w:rPr>
          <w:rFonts w:hint="eastAsia" w:ascii="宋体" w:hAnsi="宋体" w:eastAsia="宋体" w:cs="宋体"/>
          <w:color w:val="auto"/>
          <w:sz w:val="21"/>
          <w:szCs w:val="21"/>
          <w:highlight w:val="none"/>
          <w:lang w:eastAsia="zh-CN"/>
        </w:rPr>
        <w:t>公路</w:t>
      </w:r>
      <w:r>
        <w:rPr>
          <w:rFonts w:hint="eastAsia" w:ascii="宋体" w:hAnsi="宋体" w:eastAsia="宋体" w:cs="宋体"/>
          <w:color w:val="auto"/>
          <w:sz w:val="21"/>
          <w:szCs w:val="21"/>
          <w:highlight w:val="none"/>
        </w:rPr>
        <w:t>工程工程量清单计价规范》(GB50500—2008)或其适用的修订版本。除合同另有约定外，承包人实际完成的工程量按约定的工程量计算规则和有合同约束力的图纸进行计量。</w:t>
      </w:r>
    </w:p>
    <w:p w14:paraId="1E877D9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17.1.3计量周期</w:t>
      </w:r>
    </w:p>
    <w:p w14:paraId="1659B2E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(1)本合同的计量周期为月，每月</w:t>
      </w:r>
      <w:r>
        <w:rPr>
          <w:rFonts w:hint="eastAsia" w:ascii="宋体" w:hAnsi="宋体" w:eastAsia="宋体" w:cs="宋体"/>
          <w:color w:val="auto"/>
          <w:sz w:val="21"/>
          <w:szCs w:val="21"/>
          <w:highlight w:val="none"/>
          <w:u w:val="single"/>
        </w:rPr>
        <w:t xml:space="preserve"> 26 </w:t>
      </w:r>
      <w:r>
        <w:rPr>
          <w:rFonts w:hint="eastAsia" w:ascii="宋体" w:hAnsi="宋体" w:eastAsia="宋体" w:cs="宋体"/>
          <w:color w:val="auto"/>
          <w:sz w:val="21"/>
          <w:szCs w:val="21"/>
          <w:highlight w:val="none"/>
        </w:rPr>
        <w:t>日为当月计量截止日期(不含当日)和下月计量起始日期(含当日)。</w:t>
      </w:r>
    </w:p>
    <w:p w14:paraId="637C49A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w:t>
      </w:r>
      <w:r>
        <w:rPr>
          <w:rFonts w:hint="eastAsia" w:ascii="宋体" w:hAnsi="宋体" w:eastAsia="宋体" w:cs="宋体"/>
          <w:color w:val="auto"/>
          <w:sz w:val="21"/>
          <w:szCs w:val="21"/>
          <w:highlight w:val="none"/>
          <w:u w:val="single"/>
        </w:rPr>
        <w:t>执行</w:t>
      </w:r>
      <w:r>
        <w:rPr>
          <w:rFonts w:hint="eastAsia" w:ascii="宋体" w:hAnsi="宋体" w:eastAsia="宋体" w:cs="宋体"/>
          <w:color w:val="auto"/>
          <w:sz w:val="21"/>
          <w:szCs w:val="21"/>
          <w:highlight w:val="none"/>
        </w:rPr>
        <w:t>通用合同条款本项约定的单价子目计量。总价子目计量方法按专用合同条款第</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17.1.5项总价子目的计量——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按实际完成工程量计量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14969F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17.1.5总价子目的计量一按实际完成工程量计量</w:t>
      </w:r>
    </w:p>
    <w:p w14:paraId="4DF1630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(1)总价子目的价格调整方法：</w:t>
      </w:r>
      <w:r>
        <w:rPr>
          <w:rFonts w:hint="eastAsia" w:ascii="宋体" w:hAnsi="宋体" w:eastAsia="宋体" w:cs="宋体"/>
          <w:color w:val="auto"/>
          <w:sz w:val="21"/>
          <w:szCs w:val="21"/>
          <w:highlight w:val="none"/>
          <w:u w:val="single"/>
        </w:rPr>
        <w:t xml:space="preserve"> 不调整 </w:t>
      </w:r>
      <w:r>
        <w:rPr>
          <w:rFonts w:hint="eastAsia" w:ascii="宋体" w:hAnsi="宋体" w:eastAsia="宋体" w:cs="宋体"/>
          <w:color w:val="auto"/>
          <w:sz w:val="21"/>
          <w:szCs w:val="21"/>
          <w:highlight w:val="none"/>
        </w:rPr>
        <w:t>。总价子目的计量和支付应以总价为基础，对承包人实际完成的工程量进行计量，是进行工程目标管理和控制进度款支付的依据。</w:t>
      </w:r>
    </w:p>
    <w:p w14:paraId="030258C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在专用合同条款第17.1.3(1)目约定的每月计量截止日期后，对已完成的分部分项工程的子目(包括在工程量清单中给出具体工程量的措施项目的相关子目)，按照专用合同条款第17.1.2项约定的计量方法进行计量，对已完成的工程量清单中没有给出具体工程量的措施项目的相关子目，按其总价构成、费用性质和实际发生比例进行计量，向监理人提交进度付款申请单、已完成工程量报表和有关计量资料。</w:t>
      </w:r>
    </w:p>
    <w:p w14:paraId="1FF992A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388CD66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(4)监理人应在收到承包人提交的工程量报表后的7天内进行复核，监理人未在约定时间内复核的，承包人提交的工程量报表中的工程量视为承包人实际完成的工程量，据此计算工程价款。</w:t>
      </w:r>
    </w:p>
    <w:p w14:paraId="3C29B2A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(5)除按照第15条约定的变更外，在竣工结算时总价子目的工程量不应当重新计量，签约合同价所基于的工程量即是用于竣工结算的最终工程量。</w:t>
      </w:r>
    </w:p>
    <w:p w14:paraId="19AD6184">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17.2预付款</w:t>
      </w:r>
    </w:p>
    <w:p w14:paraId="4AAC2A4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17.2.1预付款</w:t>
      </w:r>
    </w:p>
    <w:p w14:paraId="713141D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(1)预付款额度</w:t>
      </w:r>
    </w:p>
    <w:p w14:paraId="780D262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分部分项工程部分的预付款额度：</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861FB8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措施项目部分预付款额度：</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664103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其中：安全文明施工费用预付额度：</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2A6B06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(2)预付办法</w:t>
      </w:r>
    </w:p>
    <w:p w14:paraId="4CB0996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预付款预付办法：</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7033F4D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预付款的支付时间：</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7E495C7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发包人逾期支付合同约定的预付款，除承担通用合同条款第22.2款约定的违约责任外，还应向承包人支付按专用合同条款第17.3.3(2)目约定的标准和方法计算的逾期付款违约金。</w:t>
      </w:r>
    </w:p>
    <w:p w14:paraId="3BC490F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17.2.2预付款保函</w:t>
      </w:r>
    </w:p>
    <w:p w14:paraId="1B0B1D3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预付款保函的金额与预付款金额相同。预付款保函的提交时间：</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none"/>
          <w:lang w:eastAsia="zh-CN"/>
        </w:rPr>
        <w:t>。</w:t>
      </w:r>
    </w:p>
    <w:p w14:paraId="553141F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保函的担保金额应当根据预付款扣回的金额递减，保函条款中可以设立担保金额递减的条款。发包人在签认每一期进度付款证书后14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该经过递减的担保金额为预付款保函担保金额。</w:t>
      </w:r>
    </w:p>
    <w:p w14:paraId="75FEBEA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17.2.3预付款的扣回与还清</w:t>
      </w:r>
    </w:p>
    <w:p w14:paraId="7D29AD8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预付款的扣回办法：</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0E291A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17.2.4预付款保函的格式</w:t>
      </w:r>
    </w:p>
    <w:p w14:paraId="7188D39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承包人应当按照专用合同条款第17.2.2项约定的金额和时间以及发包人在本工程</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中规定的或者其他经过发包人事先认可的格式向发包人递交一份无条件兑付的和不可撤销的预付款保函。</w:t>
      </w:r>
    </w:p>
    <w:p w14:paraId="604DBBE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17.2.5预付款保函的有效期</w:t>
      </w:r>
    </w:p>
    <w:p w14:paraId="243C175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预付款保函的有效期应当自预付款支付给承包人之日起至发包人签认的进度付款证书说明预付款已完全扣清之日止。</w:t>
      </w:r>
    </w:p>
    <w:p w14:paraId="0B77EEF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17.2.6发包人的通知义务</w:t>
      </w:r>
    </w:p>
    <w:p w14:paraId="2B2363B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不管保函条款中如何约定，发包人根据担保提出索赔或兑现要求之前，均应通知承包人并说明导致此类索赔或兑现的原因，但此类通知不应理解为是在任何意义上寻求承包人的同意。</w:t>
      </w:r>
    </w:p>
    <w:p w14:paraId="0E2D878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17.2.7预付款保函的退还</w:t>
      </w:r>
    </w:p>
    <w:p w14:paraId="4DFE2EA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预付款保函应在发包人签认的进度付款证书说明预付款已完全扣清之日后14天内退还给承包人。发包人不承担承包人与预付款保函有关的任何利息或其它类似的费用或者收益。</w:t>
      </w:r>
    </w:p>
    <w:p w14:paraId="626114E4">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17.3工程进度付款</w:t>
      </w:r>
    </w:p>
    <w:p w14:paraId="77A8EAC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17.3.2进度付款申请单</w:t>
      </w:r>
    </w:p>
    <w:p w14:paraId="5209023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进度付款申请单的份数：</w:t>
      </w:r>
      <w:r>
        <w:rPr>
          <w:rFonts w:hint="eastAsia" w:ascii="宋体" w:hAnsi="宋体" w:eastAsia="宋体" w:cs="宋体"/>
          <w:color w:val="auto"/>
          <w:sz w:val="21"/>
          <w:szCs w:val="21"/>
          <w:highlight w:val="none"/>
          <w:u w:val="single"/>
        </w:rPr>
        <w:t xml:space="preserve"> 五份 </w:t>
      </w:r>
      <w:r>
        <w:rPr>
          <w:rFonts w:hint="eastAsia" w:ascii="宋体" w:hAnsi="宋体" w:eastAsia="宋体" w:cs="宋体"/>
          <w:color w:val="auto"/>
          <w:sz w:val="21"/>
          <w:szCs w:val="21"/>
          <w:highlight w:val="none"/>
        </w:rPr>
        <w:t>。</w:t>
      </w:r>
    </w:p>
    <w:p w14:paraId="19C649D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进度付款申请单的内容：</w:t>
      </w:r>
      <w:r>
        <w:rPr>
          <w:rFonts w:hint="eastAsia" w:ascii="宋体" w:hAnsi="宋体" w:eastAsia="宋体" w:cs="宋体"/>
          <w:color w:val="auto"/>
          <w:sz w:val="21"/>
          <w:szCs w:val="21"/>
          <w:highlight w:val="none"/>
          <w:u w:val="single"/>
        </w:rPr>
        <w:t xml:space="preserve"> 按监理人统一要求办理 </w:t>
      </w:r>
      <w:r>
        <w:rPr>
          <w:rFonts w:hint="eastAsia" w:ascii="宋体" w:hAnsi="宋体" w:eastAsia="宋体" w:cs="宋体"/>
          <w:color w:val="auto"/>
          <w:sz w:val="21"/>
          <w:szCs w:val="21"/>
          <w:highlight w:val="none"/>
        </w:rPr>
        <w:t>。</w:t>
      </w:r>
    </w:p>
    <w:p w14:paraId="1A88EAC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17.3.3进度付款证书和支付时间</w:t>
      </w:r>
    </w:p>
    <w:p w14:paraId="0DD0881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707F5DA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逾期付款违约金的计算标准为</w:t>
      </w:r>
      <w:r>
        <w:rPr>
          <w:rFonts w:hint="eastAsia" w:ascii="宋体" w:hAnsi="宋体" w:eastAsia="宋体" w:cs="宋体"/>
          <w:color w:val="auto"/>
          <w:sz w:val="21"/>
          <w:szCs w:val="21"/>
          <w:highlight w:val="none"/>
          <w:u w:val="single"/>
        </w:rPr>
        <w:t xml:space="preserve"> 无逾期付款违约金 </w:t>
      </w:r>
      <w:r>
        <w:rPr>
          <w:rFonts w:hint="eastAsia" w:ascii="宋体" w:hAnsi="宋体" w:eastAsia="宋体" w:cs="宋体"/>
          <w:color w:val="auto"/>
          <w:sz w:val="21"/>
          <w:szCs w:val="21"/>
          <w:highlight w:val="none"/>
        </w:rPr>
        <w:t>。</w:t>
      </w:r>
    </w:p>
    <w:p w14:paraId="67927E4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逾期付款违约金的计算方法为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53BDA0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(4)进度付款涉及政府性资金的支付方法：</w:t>
      </w:r>
    </w:p>
    <w:p w14:paraId="44AAFE42">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22" w:firstLineChars="200"/>
        <w:textAlignment w:val="auto"/>
        <w:rPr>
          <w:rFonts w:hint="eastAsia" w:ascii="宋体" w:hAnsi="宋体" w:eastAsia="宋体" w:cs="宋体"/>
          <w:b/>
          <w:color w:val="auto"/>
          <w:szCs w:val="21"/>
          <w:highlight w:val="none"/>
          <w:u w:val="single"/>
          <w:lang w:eastAsia="zh-CN"/>
        </w:rPr>
      </w:pPr>
      <w:r>
        <w:rPr>
          <w:rFonts w:hint="eastAsia" w:ascii="宋体" w:hAnsi="宋体" w:eastAsia="宋体" w:cs="宋体"/>
          <w:b/>
          <w:color w:val="auto"/>
          <w:szCs w:val="21"/>
          <w:highlight w:val="none"/>
          <w:u w:val="single"/>
          <w:lang w:eastAsia="zh-CN"/>
        </w:rPr>
        <w:t>本工程无预付款，全部工程竣工并经相关部门验收合格后付至合同价的40%，经审计部门审计完成后付至审定价款的 30%，第三年无息付清剩余工程款的30%。工程最终结算造价以审计部门审计结果为准。</w:t>
      </w:r>
    </w:p>
    <w:p w14:paraId="203A2EE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rPr>
          <w:rFonts w:hint="eastAsia" w:ascii="宋体" w:hAnsi="宋体" w:eastAsia="宋体" w:cs="宋体"/>
          <w:b/>
          <w:color w:val="auto"/>
          <w:spacing w:val="-2"/>
          <w:highlight w:val="none"/>
          <w:u w:val="none"/>
          <w:lang w:eastAsia="zh-CN"/>
        </w:rPr>
      </w:pPr>
      <w:r>
        <w:rPr>
          <w:rFonts w:hint="eastAsia" w:ascii="宋体" w:hAnsi="宋体" w:eastAsia="宋体" w:cs="宋体"/>
          <w:b/>
          <w:color w:val="auto"/>
          <w:szCs w:val="21"/>
          <w:highlight w:val="none"/>
          <w:u w:val="single"/>
          <w:lang w:eastAsia="zh-CN"/>
        </w:rPr>
        <w:t>为确保工程保质保量按期完工，本项目工程款承包人必须专款专用，如发现承包人挪用工程款现象，由此造成的一切损失均有承包人承担</w:t>
      </w:r>
      <w:r>
        <w:rPr>
          <w:rFonts w:hint="eastAsia" w:ascii="宋体" w:hAnsi="宋体" w:eastAsia="宋体" w:cs="宋体"/>
          <w:b/>
          <w:color w:val="auto"/>
          <w:spacing w:val="-2"/>
          <w:highlight w:val="none"/>
          <w:u w:val="none"/>
          <w:lang w:eastAsia="zh-CN"/>
        </w:rPr>
        <w:t>。</w:t>
      </w:r>
    </w:p>
    <w:p w14:paraId="4F3B522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17.3.5临时付款证书</w:t>
      </w:r>
    </w:p>
    <w:p w14:paraId="0149353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6F4BBF6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793D9F2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62FCFA18">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17.4质量保证金</w:t>
      </w:r>
    </w:p>
    <w:p w14:paraId="646D554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17.4.1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合同条款第16条约定的价格调整金额、此前已经按合同约定支付给承包人的进度款以及已经扣留的质量保证金）的总额的百分之三（3％）扣留，直至质量保证金累计扣留金额达到签约合同价的百分之三（3％）为止。</w:t>
      </w:r>
    </w:p>
    <w:p w14:paraId="5F19A19E">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17.5竣工结算</w:t>
      </w:r>
    </w:p>
    <w:p w14:paraId="3C11740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17.5.1竣工付款申请单</w:t>
      </w:r>
    </w:p>
    <w:p w14:paraId="72EFB9C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承包人提交竣工付款申请单的份数：</w:t>
      </w:r>
      <w:r>
        <w:rPr>
          <w:rFonts w:hint="eastAsia" w:ascii="宋体" w:hAnsi="宋体" w:eastAsia="宋体" w:cs="宋体"/>
          <w:color w:val="auto"/>
          <w:sz w:val="21"/>
          <w:szCs w:val="21"/>
          <w:highlight w:val="none"/>
          <w:u w:val="single"/>
        </w:rPr>
        <w:t xml:space="preserve"> 五份 </w:t>
      </w:r>
      <w:r>
        <w:rPr>
          <w:rFonts w:hint="eastAsia" w:ascii="宋体" w:hAnsi="宋体" w:eastAsia="宋体" w:cs="宋体"/>
          <w:color w:val="auto"/>
          <w:sz w:val="21"/>
          <w:szCs w:val="21"/>
          <w:highlight w:val="none"/>
        </w:rPr>
        <w:t>。</w:t>
      </w:r>
    </w:p>
    <w:p w14:paraId="1022883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rPr>
        <w:t xml:space="preserve"> 竣工验收合格后28天内 </w:t>
      </w:r>
      <w:r>
        <w:rPr>
          <w:rFonts w:hint="eastAsia" w:ascii="宋体" w:hAnsi="宋体" w:eastAsia="宋体" w:cs="宋体"/>
          <w:color w:val="auto"/>
          <w:sz w:val="21"/>
          <w:szCs w:val="21"/>
          <w:highlight w:val="none"/>
        </w:rPr>
        <w:t>。</w:t>
      </w:r>
    </w:p>
    <w:p w14:paraId="24245CA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竣工付款申请单的内容：</w:t>
      </w:r>
      <w:r>
        <w:rPr>
          <w:rFonts w:hint="eastAsia" w:ascii="宋体" w:hAnsi="宋体" w:eastAsia="宋体" w:cs="宋体"/>
          <w:color w:val="auto"/>
          <w:sz w:val="21"/>
          <w:szCs w:val="21"/>
          <w:highlight w:val="none"/>
          <w:u w:val="single"/>
        </w:rPr>
        <w:t xml:space="preserve"> 竣工结算合同总价、已支付的工程价款、应扣留的质量保证金、应支付的竣工付款金额等 </w:t>
      </w:r>
      <w:r>
        <w:rPr>
          <w:rFonts w:hint="eastAsia" w:ascii="宋体" w:hAnsi="宋体" w:eastAsia="宋体" w:cs="宋体"/>
          <w:color w:val="auto"/>
          <w:sz w:val="21"/>
          <w:szCs w:val="21"/>
          <w:highlight w:val="none"/>
        </w:rPr>
        <w:t>。</w:t>
      </w:r>
    </w:p>
    <w:p w14:paraId="7B7FB1B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223C85DA">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17.6最终结清</w:t>
      </w:r>
    </w:p>
    <w:p w14:paraId="6759C8D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17.6.1最终结清申请单</w:t>
      </w:r>
    </w:p>
    <w:p w14:paraId="36A3E3E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五份 </w:t>
      </w:r>
    </w:p>
    <w:p w14:paraId="39F0D14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承包人提交最终结清申请单的期限：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质保期</w:t>
      </w:r>
      <w:r>
        <w:rPr>
          <w:rFonts w:hint="eastAsia" w:ascii="宋体" w:hAnsi="宋体" w:eastAsia="宋体" w:cs="宋体"/>
          <w:color w:val="auto"/>
          <w:sz w:val="21"/>
          <w:szCs w:val="21"/>
          <w:highlight w:val="none"/>
          <w:u w:val="single"/>
        </w:rPr>
        <w:t xml:space="preserve">终止证书签发后14天内 </w:t>
      </w:r>
      <w:r>
        <w:rPr>
          <w:rFonts w:hint="eastAsia" w:ascii="宋体" w:hAnsi="宋体" w:eastAsia="宋体" w:cs="宋体"/>
          <w:color w:val="auto"/>
          <w:sz w:val="21"/>
          <w:szCs w:val="21"/>
          <w:highlight w:val="none"/>
        </w:rPr>
        <w:t>。</w:t>
      </w:r>
    </w:p>
    <w:p w14:paraId="46D243AD">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18.竣工验收</w:t>
      </w:r>
    </w:p>
    <w:p w14:paraId="411FBE48">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18.2竣工验收申请报告</w:t>
      </w:r>
    </w:p>
    <w:p w14:paraId="65B53CE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sz w:val="21"/>
          <w:szCs w:val="21"/>
          <w:highlight w:val="none"/>
          <w:u w:val="single"/>
        </w:rPr>
        <w:t xml:space="preserve"> 按工程所在地建设行政主管部门和(或)城市建设档案管理机构对竣工验收资料内容的规定 </w:t>
      </w:r>
      <w:r>
        <w:rPr>
          <w:rFonts w:hint="eastAsia" w:ascii="宋体" w:hAnsi="宋体" w:eastAsia="宋体" w:cs="宋体"/>
          <w:color w:val="auto"/>
          <w:sz w:val="21"/>
          <w:szCs w:val="21"/>
          <w:highlight w:val="none"/>
        </w:rPr>
        <w:t>。</w:t>
      </w:r>
    </w:p>
    <w:p w14:paraId="7F2921C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竣工验收资料的份数：</w:t>
      </w:r>
      <w:r>
        <w:rPr>
          <w:rFonts w:hint="eastAsia" w:ascii="宋体" w:hAnsi="宋体" w:eastAsia="宋体" w:cs="宋体"/>
          <w:color w:val="auto"/>
          <w:sz w:val="21"/>
          <w:szCs w:val="21"/>
          <w:highlight w:val="none"/>
          <w:u w:val="single"/>
        </w:rPr>
        <w:t xml:space="preserve"> 按工程所在地建设行政主管部门和(或)城市建设档案管理机构的规定及发包人要求</w:t>
      </w:r>
      <w:r>
        <w:rPr>
          <w:rFonts w:hint="eastAsia" w:ascii="宋体" w:hAnsi="宋体" w:eastAsia="宋体" w:cs="宋体"/>
          <w:color w:val="auto"/>
          <w:sz w:val="21"/>
          <w:szCs w:val="21"/>
          <w:highlight w:val="none"/>
        </w:rPr>
        <w:t>。</w:t>
      </w:r>
    </w:p>
    <w:p w14:paraId="6F495AA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竣工验收资料的费用支付方式：</w:t>
      </w:r>
      <w:r>
        <w:rPr>
          <w:rFonts w:hint="eastAsia" w:ascii="宋体" w:hAnsi="宋体" w:eastAsia="宋体" w:cs="宋体"/>
          <w:color w:val="auto"/>
          <w:sz w:val="21"/>
          <w:szCs w:val="21"/>
          <w:highlight w:val="none"/>
          <w:u w:val="single"/>
        </w:rPr>
        <w:t xml:space="preserve"> 由承包人自行承担 </w:t>
      </w:r>
      <w:r>
        <w:rPr>
          <w:rFonts w:hint="eastAsia" w:ascii="宋体" w:hAnsi="宋体" w:eastAsia="宋体" w:cs="宋体"/>
          <w:color w:val="auto"/>
          <w:sz w:val="21"/>
          <w:szCs w:val="21"/>
          <w:highlight w:val="none"/>
        </w:rPr>
        <w:t>。</w:t>
      </w:r>
    </w:p>
    <w:p w14:paraId="0A4E049D">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18.3验收</w:t>
      </w:r>
    </w:p>
    <w:p w14:paraId="0BDA0BA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18.3.5经验收合格的工程，实际竣工日期为承包人按照第18.2款提交竣工验收申请报告或按照本款重新提交竣工验收申请报告的日期(以两者中时间在后者为准)。</w:t>
      </w:r>
    </w:p>
    <w:p w14:paraId="7C6006FC">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18.5施工期运行</w:t>
      </w:r>
    </w:p>
    <w:p w14:paraId="53BF8EB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18.5.1需要施工期运行的单位工程或设备安装工程：</w:t>
      </w:r>
      <w:r>
        <w:rPr>
          <w:rFonts w:hint="eastAsia" w:ascii="宋体" w:hAnsi="宋体" w:eastAsia="宋体" w:cs="宋体"/>
          <w:color w:val="auto"/>
          <w:sz w:val="21"/>
          <w:szCs w:val="21"/>
          <w:highlight w:val="none"/>
          <w:u w:val="single"/>
        </w:rPr>
        <w:t xml:space="preserve"> 根据实际情况按发包人要求 </w:t>
      </w:r>
      <w:r>
        <w:rPr>
          <w:rFonts w:hint="eastAsia" w:ascii="宋体" w:hAnsi="宋体" w:eastAsia="宋体" w:cs="宋体"/>
          <w:color w:val="auto"/>
          <w:sz w:val="21"/>
          <w:szCs w:val="21"/>
          <w:highlight w:val="none"/>
        </w:rPr>
        <w:t>。</w:t>
      </w:r>
    </w:p>
    <w:p w14:paraId="7DCB5F1C">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18.6试运行</w:t>
      </w:r>
    </w:p>
    <w:p w14:paraId="79B7219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18.6.1工程及工程设备试运行的组织与费用承担</w:t>
      </w:r>
    </w:p>
    <w:p w14:paraId="49C042B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（1）工程设备安装具备单机无负荷试运行条件，由承包人组织试运行，费用由承包人承担。</w:t>
      </w:r>
    </w:p>
    <w:p w14:paraId="3D99957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（2）工程设备安装具备无负荷联动试运行条件，由发包人组织试运行，费用由发包人承担。</w:t>
      </w:r>
    </w:p>
    <w:p w14:paraId="4204CBB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（3）投料试运行应在工程竣工验收后由发包人负责，如发包人要求在工程竣工验收前进行或需要承包人配合时，应征得承包人同意，另行签订补充协议。</w:t>
      </w:r>
    </w:p>
    <w:p w14:paraId="4C5FD8EC">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18.7竣工清场</w:t>
      </w:r>
    </w:p>
    <w:p w14:paraId="3F717CC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18.7.1监理人颁发(出具)工程接收证书后，承包人负责按照通用合同条款本项约定的要求对施工场地进行清理并承担相关费用，直至监理人检验合格为止。</w:t>
      </w:r>
    </w:p>
    <w:p w14:paraId="1564A1BE">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18.8施工队伍的撤离</w:t>
      </w:r>
    </w:p>
    <w:p w14:paraId="700019E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695848D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质保期</w:t>
      </w:r>
      <w:r>
        <w:rPr>
          <w:rFonts w:hint="eastAsia" w:ascii="宋体" w:hAnsi="宋体" w:eastAsia="宋体" w:cs="宋体"/>
          <w:color w:val="auto"/>
          <w:sz w:val="21"/>
          <w:szCs w:val="21"/>
          <w:highlight w:val="none"/>
        </w:rPr>
        <w:t>满时，承包人可以继续在施工场地保留的人员和施工设备以及最终撤离的期限：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质保期</w:t>
      </w:r>
      <w:r>
        <w:rPr>
          <w:rFonts w:hint="eastAsia" w:ascii="宋体" w:hAnsi="宋体" w:eastAsia="宋体" w:cs="宋体"/>
          <w:color w:val="auto"/>
          <w:sz w:val="21"/>
          <w:szCs w:val="21"/>
          <w:highlight w:val="none"/>
          <w:u w:val="single"/>
        </w:rPr>
        <w:t xml:space="preserve">满时，承包人的人员和施工设备应全部撤离施工场地 </w:t>
      </w:r>
      <w:r>
        <w:rPr>
          <w:rFonts w:hint="eastAsia" w:ascii="宋体" w:hAnsi="宋体" w:eastAsia="宋体" w:cs="宋体"/>
          <w:color w:val="auto"/>
          <w:sz w:val="21"/>
          <w:szCs w:val="21"/>
          <w:highlight w:val="none"/>
        </w:rPr>
        <w:t>。</w:t>
      </w:r>
    </w:p>
    <w:p w14:paraId="4E14D5D9">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18.9中间验收</w:t>
      </w:r>
    </w:p>
    <w:p w14:paraId="109FE27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本工程需要进行中间验收的部位如下：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p>
    <w:p w14:paraId="0BFE029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eastAsia="宋体" w:cs="宋体"/>
          <w:color w:val="auto"/>
          <w:sz w:val="21"/>
          <w:szCs w:val="21"/>
          <w:highlight w:val="none"/>
          <w:u w:val="single"/>
        </w:rPr>
        <w:t xml:space="preserve"> 监理人要求的 </w:t>
      </w:r>
      <w:r>
        <w:rPr>
          <w:rFonts w:hint="eastAsia" w:ascii="宋体" w:hAnsi="宋体" w:eastAsia="宋体" w:cs="宋体"/>
          <w:color w:val="auto"/>
          <w:sz w:val="21"/>
          <w:szCs w:val="21"/>
          <w:highlight w:val="none"/>
        </w:rPr>
        <w:t>期限内进行修改后重新验收。</w:t>
      </w:r>
    </w:p>
    <w:p w14:paraId="7A03453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4DB0883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经监理人验收后工程质量符合约定的验收标准，但验收24小时后监理人仍不在验收记录上签字的，视为监理人已经认可验收记录，承包人可继续施工。</w:t>
      </w:r>
    </w:p>
    <w:p w14:paraId="61166B6C">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19.缺陷责任与保修责任</w:t>
      </w:r>
    </w:p>
    <w:p w14:paraId="085FBDCC">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19.7保修责任</w:t>
      </w:r>
    </w:p>
    <w:p w14:paraId="3399760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(1)工程质量保修范围：</w:t>
      </w:r>
      <w:r>
        <w:rPr>
          <w:rFonts w:hint="eastAsia" w:ascii="宋体" w:hAnsi="宋体" w:eastAsia="宋体" w:cs="宋体"/>
          <w:color w:val="auto"/>
          <w:sz w:val="21"/>
          <w:szCs w:val="21"/>
          <w:highlight w:val="none"/>
          <w:u w:val="single"/>
        </w:rPr>
        <w:t xml:space="preserve"> 详见质量保修书 </w:t>
      </w:r>
      <w:r>
        <w:rPr>
          <w:rFonts w:hint="eastAsia" w:ascii="宋体" w:hAnsi="宋体" w:eastAsia="宋体" w:cs="宋体"/>
          <w:color w:val="auto"/>
          <w:sz w:val="21"/>
          <w:szCs w:val="21"/>
          <w:highlight w:val="none"/>
        </w:rPr>
        <w:t>。</w:t>
      </w:r>
    </w:p>
    <w:p w14:paraId="6717E2C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(2)工程质量保修期限：</w:t>
      </w:r>
      <w:r>
        <w:rPr>
          <w:rFonts w:hint="eastAsia" w:ascii="宋体" w:hAnsi="宋体" w:eastAsia="宋体" w:cs="宋体"/>
          <w:color w:val="auto"/>
          <w:sz w:val="21"/>
          <w:szCs w:val="21"/>
          <w:highlight w:val="none"/>
          <w:u w:val="single"/>
        </w:rPr>
        <w:t xml:space="preserve"> 详见质量保修书 </w:t>
      </w:r>
      <w:r>
        <w:rPr>
          <w:rFonts w:hint="eastAsia" w:ascii="宋体" w:hAnsi="宋体" w:eastAsia="宋体" w:cs="宋体"/>
          <w:color w:val="auto"/>
          <w:sz w:val="21"/>
          <w:szCs w:val="21"/>
          <w:highlight w:val="none"/>
        </w:rPr>
        <w:t>。</w:t>
      </w:r>
    </w:p>
    <w:p w14:paraId="52DACAC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(3)工程质量保修责任：</w:t>
      </w:r>
      <w:r>
        <w:rPr>
          <w:rFonts w:hint="eastAsia" w:ascii="宋体" w:hAnsi="宋体" w:eastAsia="宋体" w:cs="宋体"/>
          <w:color w:val="auto"/>
          <w:sz w:val="21"/>
          <w:szCs w:val="21"/>
          <w:highlight w:val="none"/>
          <w:u w:val="single"/>
        </w:rPr>
        <w:t xml:space="preserve"> 详见质量保修书 </w:t>
      </w:r>
      <w:r>
        <w:rPr>
          <w:rFonts w:hint="eastAsia" w:ascii="宋体" w:hAnsi="宋体" w:eastAsia="宋体" w:cs="宋体"/>
          <w:color w:val="auto"/>
          <w:sz w:val="21"/>
          <w:szCs w:val="21"/>
          <w:highlight w:val="none"/>
        </w:rPr>
        <w:t>。</w:t>
      </w:r>
    </w:p>
    <w:p w14:paraId="601DDA5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7E857A78">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20.保险</w:t>
      </w:r>
    </w:p>
    <w:p w14:paraId="72664CCA">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20.1工程保险</w:t>
      </w:r>
    </w:p>
    <w:p w14:paraId="18D6B4F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工程保险。投保工程保险时，险种为：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，并符合以下约定。</w:t>
      </w:r>
    </w:p>
    <w:p w14:paraId="3947E46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9F55BE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(2)投保内容：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420BD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(3)保险费率：由投保人与合同双方同意的保险人商定。</w:t>
      </w:r>
    </w:p>
    <w:p w14:paraId="3C3B867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(4)保险金额：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6301D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(5)保险期限：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D6C8FC">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20.4第三者责任险</w:t>
      </w:r>
    </w:p>
    <w:p w14:paraId="20B51F2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20.4.2保险金额：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，保险费率由承包人与发包人同意的保险人商定，相关保险费由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p w14:paraId="68D2DF4B">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20.5其他保险</w:t>
      </w:r>
    </w:p>
    <w:p w14:paraId="256FD8D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承包人应为其施工设备、进场材料和工程设备等办理的保险：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B37F071">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20.6对各项保险的一般要求</w:t>
      </w:r>
    </w:p>
    <w:p w14:paraId="0C6C3F4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20.6.1保险凭证</w:t>
      </w:r>
    </w:p>
    <w:p w14:paraId="3B7F035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承包人向发包人提交各项保险生效的证据和保险单副本的期限：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EB427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20.6.4保险金不足的补偿</w:t>
      </w:r>
    </w:p>
    <w:p w14:paraId="2D079BF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保险金不足以补偿损失时，承包人和发包人负责补偿的责任分摊：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1BB04B8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21.不可抗力</w:t>
      </w:r>
    </w:p>
    <w:p w14:paraId="46DB3FD1">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21.1不可抗力的确认</w:t>
      </w:r>
    </w:p>
    <w:p w14:paraId="1D8392B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21.1.1通用合同条款第21.1.1项约定的不可抗力以外的其他情形：</w:t>
      </w:r>
      <w:r>
        <w:rPr>
          <w:rFonts w:hint="eastAsia" w:ascii="宋体" w:hAnsi="宋体" w:eastAsia="宋体" w:cs="宋体"/>
          <w:color w:val="auto"/>
          <w:sz w:val="21"/>
          <w:szCs w:val="21"/>
          <w:highlight w:val="none"/>
          <w:u w:val="single"/>
        </w:rPr>
        <w:t xml:space="preserve"> 按国家有关部门认定的标准 </w:t>
      </w:r>
      <w:r>
        <w:rPr>
          <w:rFonts w:hint="eastAsia" w:ascii="宋体" w:hAnsi="宋体" w:eastAsia="宋体" w:cs="宋体"/>
          <w:color w:val="auto"/>
          <w:sz w:val="21"/>
          <w:szCs w:val="21"/>
          <w:highlight w:val="none"/>
          <w:u w:val="none"/>
        </w:rPr>
        <w:t>。</w:t>
      </w:r>
    </w:p>
    <w:p w14:paraId="3F39954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不可抗力的等级范围约定：</w:t>
      </w:r>
      <w:r>
        <w:rPr>
          <w:rFonts w:hint="eastAsia" w:ascii="宋体" w:hAnsi="宋体" w:eastAsia="宋体" w:cs="宋体"/>
          <w:color w:val="auto"/>
          <w:sz w:val="21"/>
          <w:szCs w:val="21"/>
          <w:highlight w:val="none"/>
          <w:u w:val="single"/>
        </w:rPr>
        <w:t xml:space="preserve"> 发包人与承包人另行协商约定 </w:t>
      </w:r>
      <w:r>
        <w:rPr>
          <w:rFonts w:hint="eastAsia" w:ascii="宋体" w:hAnsi="宋体" w:eastAsia="宋体" w:cs="宋体"/>
          <w:color w:val="auto"/>
          <w:sz w:val="21"/>
          <w:szCs w:val="21"/>
          <w:highlight w:val="none"/>
          <w:u w:val="none"/>
        </w:rPr>
        <w:t xml:space="preserve">。 </w:t>
      </w:r>
    </w:p>
    <w:p w14:paraId="38D8D82A">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21.3不可抗力后果及其处理</w:t>
      </w:r>
    </w:p>
    <w:p w14:paraId="45516E0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21.3.1不可抗力造成损害的责任</w:t>
      </w:r>
    </w:p>
    <w:p w14:paraId="417A410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不可抗力导致的人员伤亡、财产损失、费用增加和(或)工期延误等后果，由合同双方按通用合同条款第21.3.1项约定的原则承担。</w:t>
      </w:r>
    </w:p>
    <w:p w14:paraId="277638D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24.争议的解决</w:t>
      </w:r>
    </w:p>
    <w:p w14:paraId="7FA1DE23">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24.1争议的解决方式</w:t>
      </w:r>
    </w:p>
    <w:p w14:paraId="5378698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因本合同引起的或与本合同有关的任何争议，合同双方友好协商不成、不愿提请争议组评审或者不愿接受争议评审组意见的，选择下列第</w:t>
      </w:r>
      <w:r>
        <w:rPr>
          <w:rFonts w:hint="eastAsia" w:ascii="宋体" w:hAnsi="宋体" w:eastAsia="宋体" w:cs="宋体"/>
          <w:color w:val="auto"/>
          <w:sz w:val="21"/>
          <w:szCs w:val="21"/>
          <w:highlight w:val="none"/>
          <w:u w:val="single"/>
        </w:rPr>
        <w:t xml:space="preserve"> 贰 </w:t>
      </w:r>
      <w:r>
        <w:rPr>
          <w:rFonts w:hint="eastAsia" w:ascii="宋体" w:hAnsi="宋体" w:eastAsia="宋体" w:cs="宋体"/>
          <w:color w:val="auto"/>
          <w:sz w:val="21"/>
          <w:szCs w:val="21"/>
          <w:highlight w:val="none"/>
        </w:rPr>
        <w:t>种方式解决：</w:t>
      </w:r>
    </w:p>
    <w:p w14:paraId="57EC9D2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（壹）</w:t>
      </w:r>
      <w:r>
        <w:rPr>
          <w:rFonts w:hint="eastAsia" w:ascii="宋体" w:hAnsi="宋体" w:eastAsia="宋体" w:cs="宋体"/>
          <w:color w:val="auto"/>
          <w:sz w:val="21"/>
          <w:szCs w:val="21"/>
          <w:highlight w:val="none"/>
        </w:rPr>
        <w:t>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济宁市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仲裁委员会按照该会仲裁规则进行仲裁，仲裁裁决是终局的，对合同双方均有约束力。</w:t>
      </w:r>
    </w:p>
    <w:p w14:paraId="1424F21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（贰）</w:t>
      </w:r>
      <w:r>
        <w:rPr>
          <w:rFonts w:hint="eastAsia" w:ascii="宋体" w:hAnsi="宋体" w:eastAsia="宋体" w:cs="宋体"/>
          <w:color w:val="auto"/>
          <w:sz w:val="21"/>
          <w:szCs w:val="21"/>
          <w:highlight w:val="none"/>
        </w:rPr>
        <w:t>向有管辖权的人民法院提起诉讼。</w:t>
      </w:r>
    </w:p>
    <w:p w14:paraId="211F03B2">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24.2争议评审</w:t>
      </w:r>
    </w:p>
    <w:p w14:paraId="2741FC1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24.2.4争议评审组邀请合同双方代表人和有关人员举行调查会的期限：</w:t>
      </w:r>
      <w:r>
        <w:rPr>
          <w:rFonts w:hint="eastAsia" w:ascii="宋体" w:hAnsi="宋体" w:eastAsia="宋体" w:cs="宋体"/>
          <w:color w:val="auto"/>
          <w:sz w:val="21"/>
          <w:szCs w:val="21"/>
          <w:highlight w:val="none"/>
          <w:u w:val="single"/>
        </w:rPr>
        <w:t xml:space="preserve"> 争议评审组在收到合同双方报告后的14天内 </w:t>
      </w:r>
      <w:r>
        <w:rPr>
          <w:rFonts w:hint="eastAsia" w:ascii="宋体" w:hAnsi="宋体" w:eastAsia="宋体" w:cs="宋体"/>
          <w:color w:val="auto"/>
          <w:sz w:val="21"/>
          <w:szCs w:val="21"/>
          <w:highlight w:val="none"/>
          <w:u w:val="none"/>
        </w:rPr>
        <w:t>。</w:t>
      </w:r>
    </w:p>
    <w:p w14:paraId="447F6E1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24.2.5争议评审组在调查会后作出争议评审意见的期限：</w:t>
      </w:r>
      <w:r>
        <w:rPr>
          <w:rFonts w:hint="eastAsia" w:ascii="宋体" w:hAnsi="宋体" w:eastAsia="宋体" w:cs="宋体"/>
          <w:color w:val="auto"/>
          <w:sz w:val="21"/>
          <w:szCs w:val="21"/>
          <w:highlight w:val="none"/>
          <w:u w:val="single"/>
        </w:rPr>
        <w:t xml:space="preserve"> 在调查会结束后的14天内 </w:t>
      </w:r>
      <w:r>
        <w:rPr>
          <w:rFonts w:hint="eastAsia" w:ascii="宋体" w:hAnsi="宋体" w:eastAsia="宋体" w:cs="宋体"/>
          <w:color w:val="auto"/>
          <w:sz w:val="21"/>
          <w:szCs w:val="21"/>
          <w:highlight w:val="none"/>
          <w:u w:val="none"/>
        </w:rPr>
        <w:t xml:space="preserve">。 </w:t>
      </w:r>
    </w:p>
    <w:p w14:paraId="328FB486">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补充条款</w:t>
      </w:r>
    </w:p>
    <w:p w14:paraId="0B272C6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25.1</w:t>
      </w:r>
      <w:r>
        <w:rPr>
          <w:rFonts w:hint="eastAsia" w:ascii="宋体" w:hAnsi="宋体" w:eastAsia="宋体" w:cs="宋体"/>
          <w:color w:val="auto"/>
          <w:sz w:val="21"/>
          <w:szCs w:val="21"/>
          <w:highlight w:val="none"/>
          <w:u w:val="single"/>
        </w:rPr>
        <w:t xml:space="preserve"> 施工期间的安全问题、地方关系、个体关系、与周边关系的协调由中标单位自行处理，费用由承包人承担</w:t>
      </w:r>
      <w:r>
        <w:rPr>
          <w:rFonts w:hint="eastAsia" w:ascii="宋体" w:hAnsi="宋体" w:eastAsia="宋体" w:cs="宋体"/>
          <w:color w:val="auto"/>
          <w:sz w:val="21"/>
          <w:szCs w:val="21"/>
          <w:highlight w:val="none"/>
          <w:u w:val="none"/>
        </w:rPr>
        <w:t>。</w:t>
      </w:r>
    </w:p>
    <w:p w14:paraId="3C65098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承包人应根据现场实际情况，制定有效安全防范、防护措施，安设醒目安全标志、警戒线，并安排专人负责。任何因承包人原因引起的交通、生产等安全问题均由承包人负责。</w:t>
      </w:r>
    </w:p>
    <w:p w14:paraId="4E9FFC8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承包人应严格治安管理及现场管理，任何因承包人原因造成的扰民纠纷及其他纠纷均由承包人负责。</w:t>
      </w:r>
    </w:p>
    <w:p w14:paraId="6DE0B7C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val="0"/>
          <w:bCs/>
          <w:color w:val="auto"/>
          <w:sz w:val="21"/>
          <w:szCs w:val="21"/>
          <w:highlight w:val="none"/>
        </w:rPr>
        <w:t>25.</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GB"/>
        </w:rPr>
        <w:t>承包人应及时支付工程材料款及民工工资等款项，任何因承包人原因给发包人带来的任何负面及不良影响，均由承包人承担全部责任。</w:t>
      </w:r>
    </w:p>
    <w:p w14:paraId="7192131D">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outlineLvl w:val="9"/>
        <w:rPr>
          <w:rFonts w:hint="eastAsia" w:ascii="宋体" w:hAnsi="宋体" w:eastAsia="宋体" w:cs="宋体"/>
          <w:color w:val="auto"/>
          <w:sz w:val="21"/>
          <w:szCs w:val="21"/>
          <w:highlight w:val="none"/>
        </w:rPr>
      </w:pPr>
    </w:p>
    <w:p w14:paraId="36CEA0FC">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outlineLvl w:val="9"/>
        <w:rPr>
          <w:rFonts w:hint="eastAsia" w:ascii="宋体" w:hAnsi="宋体" w:eastAsia="宋体" w:cs="宋体"/>
          <w:color w:val="auto"/>
          <w:sz w:val="21"/>
          <w:szCs w:val="21"/>
          <w:highlight w:val="none"/>
        </w:rPr>
      </w:pPr>
    </w:p>
    <w:p w14:paraId="0EF2B432">
      <w:pPr>
        <w:rPr>
          <w:rFonts w:hint="eastAsia" w:ascii="宋体" w:hAnsi="宋体" w:eastAsia="宋体" w:cs="宋体"/>
          <w:color w:val="auto"/>
          <w:sz w:val="21"/>
          <w:szCs w:val="21"/>
          <w:highlight w:val="none"/>
        </w:rPr>
      </w:pPr>
    </w:p>
    <w:p w14:paraId="31BC37CE">
      <w:pPr>
        <w:pStyle w:val="2"/>
        <w:rPr>
          <w:rFonts w:hint="eastAsia" w:ascii="宋体" w:hAnsi="宋体" w:eastAsia="宋体" w:cs="宋体"/>
          <w:color w:val="auto"/>
          <w:highlight w:val="none"/>
        </w:rPr>
      </w:pPr>
    </w:p>
    <w:p w14:paraId="251762AF">
      <w:pPr>
        <w:rPr>
          <w:rFonts w:hint="eastAsia" w:ascii="宋体" w:hAnsi="宋体" w:eastAsia="宋体" w:cs="宋体"/>
          <w:color w:val="auto"/>
          <w:highlight w:val="none"/>
        </w:rPr>
      </w:pPr>
    </w:p>
    <w:p w14:paraId="2E3E89E9">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附件一：承包人提供的材料和工程设备一览表</w:t>
      </w:r>
    </w:p>
    <w:p w14:paraId="1FDCC21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rPr>
          <w:rFonts w:hint="eastAsia" w:ascii="宋体" w:hAnsi="宋体" w:eastAsia="宋体" w:cs="宋体"/>
          <w:b/>
          <w:color w:val="auto"/>
          <w:sz w:val="21"/>
          <w:szCs w:val="21"/>
          <w:highlight w:val="none"/>
        </w:rPr>
      </w:pPr>
    </w:p>
    <w:p w14:paraId="4316DDA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承包人提供的材料和工程设备一览表</w:t>
      </w:r>
    </w:p>
    <w:p w14:paraId="5A84BEB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tbl>
      <w:tblPr>
        <w:tblStyle w:val="11"/>
        <w:tblW w:w="95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439"/>
        <w:gridCol w:w="1233"/>
        <w:gridCol w:w="822"/>
        <w:gridCol w:w="739"/>
        <w:gridCol w:w="699"/>
        <w:gridCol w:w="1028"/>
        <w:gridCol w:w="1027"/>
        <w:gridCol w:w="1028"/>
        <w:gridCol w:w="822"/>
      </w:tblGrid>
      <w:tr w14:paraId="68D06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43" w:type="dxa"/>
            <w:noWrap w:val="0"/>
            <w:vAlign w:val="center"/>
          </w:tcPr>
          <w:p w14:paraId="5BED871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序号</w:t>
            </w:r>
          </w:p>
        </w:tc>
        <w:tc>
          <w:tcPr>
            <w:tcW w:w="1439" w:type="dxa"/>
            <w:noWrap w:val="0"/>
            <w:vAlign w:val="center"/>
          </w:tcPr>
          <w:p w14:paraId="4128486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材料设备</w:t>
            </w:r>
          </w:p>
          <w:p w14:paraId="7CE9E27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名   称</w:t>
            </w:r>
          </w:p>
        </w:tc>
        <w:tc>
          <w:tcPr>
            <w:tcW w:w="1233" w:type="dxa"/>
            <w:noWrap w:val="0"/>
            <w:vAlign w:val="center"/>
          </w:tcPr>
          <w:p w14:paraId="42A2430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规格</w:t>
            </w:r>
          </w:p>
          <w:p w14:paraId="0F0952F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型号</w:t>
            </w:r>
          </w:p>
        </w:tc>
        <w:tc>
          <w:tcPr>
            <w:tcW w:w="822" w:type="dxa"/>
            <w:noWrap w:val="0"/>
            <w:vAlign w:val="center"/>
          </w:tcPr>
          <w:p w14:paraId="3DB2A70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单</w:t>
            </w:r>
          </w:p>
          <w:p w14:paraId="3DF4283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位</w:t>
            </w:r>
          </w:p>
        </w:tc>
        <w:tc>
          <w:tcPr>
            <w:tcW w:w="739" w:type="dxa"/>
            <w:noWrap w:val="0"/>
            <w:vAlign w:val="center"/>
          </w:tcPr>
          <w:p w14:paraId="69C4928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数</w:t>
            </w:r>
          </w:p>
          <w:p w14:paraId="0310EDE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量</w:t>
            </w:r>
          </w:p>
        </w:tc>
        <w:tc>
          <w:tcPr>
            <w:tcW w:w="699" w:type="dxa"/>
            <w:noWrap w:val="0"/>
            <w:vAlign w:val="center"/>
          </w:tcPr>
          <w:p w14:paraId="696AA18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单</w:t>
            </w:r>
          </w:p>
          <w:p w14:paraId="5D7E343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价</w:t>
            </w:r>
          </w:p>
        </w:tc>
        <w:tc>
          <w:tcPr>
            <w:tcW w:w="1028" w:type="dxa"/>
            <w:noWrap w:val="0"/>
            <w:vAlign w:val="center"/>
          </w:tcPr>
          <w:p w14:paraId="30A18FD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交货</w:t>
            </w:r>
          </w:p>
          <w:p w14:paraId="68434AD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方式</w:t>
            </w:r>
          </w:p>
        </w:tc>
        <w:tc>
          <w:tcPr>
            <w:tcW w:w="1027" w:type="dxa"/>
            <w:noWrap w:val="0"/>
            <w:vAlign w:val="center"/>
          </w:tcPr>
          <w:p w14:paraId="6697131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交货</w:t>
            </w:r>
          </w:p>
          <w:p w14:paraId="6126DFE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地点</w:t>
            </w:r>
          </w:p>
        </w:tc>
        <w:tc>
          <w:tcPr>
            <w:tcW w:w="1028" w:type="dxa"/>
            <w:noWrap w:val="0"/>
            <w:vAlign w:val="center"/>
          </w:tcPr>
          <w:p w14:paraId="24DE206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计划</w:t>
            </w:r>
          </w:p>
          <w:p w14:paraId="51BB156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交货</w:t>
            </w:r>
          </w:p>
          <w:p w14:paraId="139BC3E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时间</w:t>
            </w:r>
          </w:p>
        </w:tc>
        <w:tc>
          <w:tcPr>
            <w:tcW w:w="822" w:type="dxa"/>
            <w:noWrap w:val="0"/>
            <w:vAlign w:val="center"/>
          </w:tcPr>
          <w:p w14:paraId="3D61BEB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备注</w:t>
            </w:r>
          </w:p>
        </w:tc>
      </w:tr>
      <w:tr w14:paraId="208CF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53F8376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3E208A9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7131F1B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158BB9F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21A81FE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4961E74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31B56A6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1E80D9D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3992D04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1AE8863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4B820D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726DA41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49224FE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66BCF6A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67E52E9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24EEFE7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3EF6FAD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4E640C1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0B5F127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79EA9CF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2817557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7037BB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7EA60AF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496CB0E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58AC784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227B857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7B5096A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1AF768B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6F3194F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45992E7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4D77DB0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5894FD8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55B6B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2053585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2E45CA7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425F750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6F5DD34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5170417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406C31B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60F136C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741DFBA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391CDA5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687F5BC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356C9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57EF396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1868824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54E33F4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773BE9E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127E8EC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2FF0D9F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0FB14FF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6468F67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6DDC793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6CDC758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35339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58ABB67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0E0BCF9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3284F4D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6C28FC4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752CBF5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6A641C9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55894E8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21A8E64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1DF07D6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196CA31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1923E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4863885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310C203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49A104E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32CE828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72DC11B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5DC5F23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2B871D5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2FED0F7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4C47876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077E9A7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74416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340A4BC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538A65A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5173461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7BB96EA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3E8D553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2A9964F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35CC59B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4A731B4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699A1AA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47CA310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22863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6131D18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4247AE6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176E4F8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4FA2D49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232D822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426636B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20E21DD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2407C3A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7F30D64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1A9E73E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7C092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25E0C2E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1BEE3BC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656AF1E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32EF36B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6E3EF94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386FE3A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436F687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4B436EB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735985E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7E91D52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3413C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798E512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609D7B7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62B1A94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1763681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44EB0A2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78FECCF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4A3F20C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7F7A16D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1CAFA84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0DF60BC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6ACA44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07DAC3A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457FD3D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27D719E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35E478B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462FDAB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7F6A39F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09C3C45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0AC49D0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736EB5B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2A66A20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5038A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5CC4A6C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1DC92C7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638EDEF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6CA96D6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45B072A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7094A16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5DFC823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15DD5B0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07BC72B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3A594D2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0418E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67DD878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3659912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5FF63ED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16E2D75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0AC875D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2BB4B49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3E43F2C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134B388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46FB870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13139A3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0A6CD0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794435E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1EAA06D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45249A1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694AC19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18FCB70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0A2DF91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48D2EE6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5FB9B5B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4D8CACA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6A6EF68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33078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22AF4DF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0B2F7A9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041E0C8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24E10AF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5886C60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73951B5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07E6CF8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6E16DE0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5170CAE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259B14E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2A4D2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644FCF3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39ADE6B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106A425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4AA9C47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23E4883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5751882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4A022BB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5BE187B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5A59342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49D5091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62470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7B0EAE4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78FFB24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629D9ED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5CD7EF5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0BF1F95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2A2ED25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444D41C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5803B25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34ED08E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4620E3C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3DD8C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6CC2290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50E861E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77C3896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58B5548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49AEE73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478FBDF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7935263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302EB97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4FA261F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290B9A3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5C818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3631D38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64904E6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593835F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096AC61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25B710C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2664D35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132D795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49E6F28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658071A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18E66D7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37940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4309EEB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13ABECC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6CFE6E1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334AA68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73A0E5D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7B6DAD7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1455767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0C4BD34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2F65668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2453CEB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68541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30DF4D3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13723A0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1DF1884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497BF16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7079322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36C65AA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6658855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25C33C2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51EA711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5120857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4A37B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283C6A6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2260CCC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017129D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6DA3150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463EAE4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56B23C8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1022C38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2ADC21F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7C716A2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25B1360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21010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09B1A74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13CE0CA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2B677C7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19C7384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1792797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01D3BBA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039615B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01AF2B3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7A764F1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2BD058D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44E09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106EFEB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64CC0F0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3EF8C9C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6538D79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76DFD8A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7EBA17B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78B37F7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4AD03FD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31840DE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1E04C34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4F84A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43" w:type="dxa"/>
            <w:noWrap w:val="0"/>
            <w:vAlign w:val="top"/>
          </w:tcPr>
          <w:p w14:paraId="5940A98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2DB87FA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453E011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2C1C598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0899521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7530378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518727B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10163AB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1409469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4CD8FD1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6BDB8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743" w:type="dxa"/>
            <w:noWrap w:val="0"/>
            <w:vAlign w:val="top"/>
          </w:tcPr>
          <w:p w14:paraId="67CA178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439" w:type="dxa"/>
            <w:noWrap w:val="0"/>
            <w:vAlign w:val="top"/>
          </w:tcPr>
          <w:p w14:paraId="470264B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233" w:type="dxa"/>
            <w:noWrap w:val="0"/>
            <w:vAlign w:val="top"/>
          </w:tcPr>
          <w:p w14:paraId="7CE62B4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4D4932C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39" w:type="dxa"/>
            <w:noWrap w:val="0"/>
            <w:vAlign w:val="top"/>
          </w:tcPr>
          <w:p w14:paraId="5609DC6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699" w:type="dxa"/>
            <w:noWrap w:val="0"/>
            <w:vAlign w:val="top"/>
          </w:tcPr>
          <w:p w14:paraId="7674829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637A3BC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7" w:type="dxa"/>
            <w:noWrap w:val="0"/>
            <w:vAlign w:val="top"/>
          </w:tcPr>
          <w:p w14:paraId="449CB8B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28" w:type="dxa"/>
            <w:noWrap w:val="0"/>
            <w:vAlign w:val="top"/>
          </w:tcPr>
          <w:p w14:paraId="3F08E4C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822" w:type="dxa"/>
            <w:noWrap w:val="0"/>
            <w:vAlign w:val="top"/>
          </w:tcPr>
          <w:p w14:paraId="4B85D5F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bl>
    <w:p w14:paraId="69764CC1">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outlineLvl w:val="9"/>
        <w:rPr>
          <w:rFonts w:hint="eastAsia" w:ascii="宋体" w:hAnsi="宋体" w:eastAsia="宋体" w:cs="宋体"/>
          <w:color w:val="auto"/>
          <w:sz w:val="21"/>
          <w:szCs w:val="21"/>
          <w:highlight w:val="none"/>
        </w:rPr>
      </w:pPr>
    </w:p>
    <w:p w14:paraId="2E8065BC">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71E1E552">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附件二：发包人提供的材料和工程设备一览表</w:t>
      </w:r>
    </w:p>
    <w:p w14:paraId="1892201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5FCF209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发包人提供的材料和工程设备一览表</w:t>
      </w:r>
    </w:p>
    <w:p w14:paraId="4837639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jc w:val="center"/>
        <w:rPr>
          <w:rFonts w:hint="eastAsia" w:ascii="宋体" w:hAnsi="宋体" w:eastAsia="宋体" w:cs="宋体"/>
          <w:b/>
          <w:color w:val="auto"/>
          <w:sz w:val="21"/>
          <w:szCs w:val="21"/>
          <w:highlight w:val="none"/>
        </w:rPr>
      </w:pPr>
    </w:p>
    <w:tbl>
      <w:tblPr>
        <w:tblStyle w:val="11"/>
        <w:tblW w:w="95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53"/>
        <w:gridCol w:w="1189"/>
        <w:gridCol w:w="706"/>
        <w:gridCol w:w="707"/>
        <w:gridCol w:w="706"/>
        <w:gridCol w:w="1037"/>
        <w:gridCol w:w="1037"/>
        <w:gridCol w:w="1037"/>
        <w:gridCol w:w="1037"/>
      </w:tblGrid>
      <w:tr w14:paraId="457BF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31" w:type="dxa"/>
            <w:noWrap w:val="0"/>
            <w:vAlign w:val="center"/>
          </w:tcPr>
          <w:p w14:paraId="4A86A84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序号</w:t>
            </w:r>
          </w:p>
        </w:tc>
        <w:tc>
          <w:tcPr>
            <w:tcW w:w="1353" w:type="dxa"/>
            <w:noWrap w:val="0"/>
            <w:vAlign w:val="center"/>
          </w:tcPr>
          <w:p w14:paraId="021F6B6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材料设备</w:t>
            </w:r>
          </w:p>
          <w:p w14:paraId="6BDF919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名   称</w:t>
            </w:r>
          </w:p>
        </w:tc>
        <w:tc>
          <w:tcPr>
            <w:tcW w:w="1189" w:type="dxa"/>
            <w:noWrap w:val="0"/>
            <w:vAlign w:val="center"/>
          </w:tcPr>
          <w:p w14:paraId="67C622B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规格</w:t>
            </w:r>
          </w:p>
          <w:p w14:paraId="7F7023E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型号</w:t>
            </w:r>
          </w:p>
        </w:tc>
        <w:tc>
          <w:tcPr>
            <w:tcW w:w="706" w:type="dxa"/>
            <w:noWrap w:val="0"/>
            <w:vAlign w:val="center"/>
          </w:tcPr>
          <w:p w14:paraId="618D050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单</w:t>
            </w:r>
          </w:p>
          <w:p w14:paraId="78A0C04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位</w:t>
            </w:r>
          </w:p>
        </w:tc>
        <w:tc>
          <w:tcPr>
            <w:tcW w:w="707" w:type="dxa"/>
            <w:noWrap w:val="0"/>
            <w:vAlign w:val="center"/>
          </w:tcPr>
          <w:p w14:paraId="4C5D8B4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数</w:t>
            </w:r>
          </w:p>
          <w:p w14:paraId="4B05DC7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量</w:t>
            </w:r>
          </w:p>
        </w:tc>
        <w:tc>
          <w:tcPr>
            <w:tcW w:w="706" w:type="dxa"/>
            <w:noWrap w:val="0"/>
            <w:vAlign w:val="center"/>
          </w:tcPr>
          <w:p w14:paraId="76E6C4C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单</w:t>
            </w:r>
          </w:p>
          <w:p w14:paraId="20EE68A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价</w:t>
            </w:r>
          </w:p>
        </w:tc>
        <w:tc>
          <w:tcPr>
            <w:tcW w:w="1037" w:type="dxa"/>
            <w:noWrap w:val="0"/>
            <w:vAlign w:val="center"/>
          </w:tcPr>
          <w:p w14:paraId="49D416B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交货</w:t>
            </w:r>
          </w:p>
          <w:p w14:paraId="215F9D1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方式</w:t>
            </w:r>
          </w:p>
        </w:tc>
        <w:tc>
          <w:tcPr>
            <w:tcW w:w="1037" w:type="dxa"/>
            <w:noWrap w:val="0"/>
            <w:vAlign w:val="center"/>
          </w:tcPr>
          <w:p w14:paraId="4D10405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交货</w:t>
            </w:r>
          </w:p>
          <w:p w14:paraId="057DCDF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地点</w:t>
            </w:r>
          </w:p>
        </w:tc>
        <w:tc>
          <w:tcPr>
            <w:tcW w:w="1037" w:type="dxa"/>
            <w:noWrap w:val="0"/>
            <w:vAlign w:val="center"/>
          </w:tcPr>
          <w:p w14:paraId="5860818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计划</w:t>
            </w:r>
          </w:p>
          <w:p w14:paraId="1919255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交货</w:t>
            </w:r>
          </w:p>
          <w:p w14:paraId="293C719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时间</w:t>
            </w:r>
          </w:p>
        </w:tc>
        <w:tc>
          <w:tcPr>
            <w:tcW w:w="1037" w:type="dxa"/>
            <w:noWrap w:val="0"/>
            <w:vAlign w:val="center"/>
          </w:tcPr>
          <w:p w14:paraId="63A62D4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备注</w:t>
            </w:r>
          </w:p>
        </w:tc>
      </w:tr>
      <w:tr w14:paraId="310E3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37B79A4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7771B8D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167C418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28A9018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58BD35B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7C6D174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1B47F3D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DEC065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416FA4E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547BA2B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489F0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4E51741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7AC082B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7CD42E2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3EC5CB1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21A1E5A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62EA6BA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11C002B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2E98255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1CB3167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418A243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79BE2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0838200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377CBDF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71D9F78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06B7095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029927F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7374E64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231D443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8D08D3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450AE62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03544CE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60B72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3E8317A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359C492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51D23BC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72F9C98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68FC5DB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0D27622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022122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1367A5E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0A64466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7BEC21E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25653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04583F4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6F923EB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7FC5DF8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035186E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349994B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56C05F6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DFC693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7F1FADE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0E5FD57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4EFB1AA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3D7B93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4A7B46A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428B91D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5549FCA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4F0D4B6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7AC46B2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031826B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76415DA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7400D6B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5A9412F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158264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4A6DD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0B331F9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72AB638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587B62A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123FA5A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29202C7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565B033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21C3E1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73214F1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1D5B69C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7135ABE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3DC2F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2353402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114395D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27AA99C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44B0A42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0F6BB0E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459B50B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B36D01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2B05FAF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607EE3E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6EA61C0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2BC43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0D78CA5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6A2539D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0A60EC6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40DA3A3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5B1A19B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17D6F66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2622BB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5876222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5FBDF45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5002EEC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2552F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45145FD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558D491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4B18A60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0235650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41F6F62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0030884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0A81232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4F74F6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776E2E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9A5ED1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46DF4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36E5367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7CE59DA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22D07D8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24D557D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77410EC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0CDA6D4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57F0230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223D488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0E046EF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61BE8C5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6D4A5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0D1107F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67489EE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5767408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5FADA60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085E29C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2FFDCA5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52EF40F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00292B4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5BC94D7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7299661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034EA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5A71776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7638BB2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77457EE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324D451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3ED081F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358F897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311DB3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F16E75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7801E929">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0CC4A9D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2A2BC7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28F4D73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568895A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5A5EBF8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2AD43AC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7AA847B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5A7838E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1F3F42C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11E4692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14B5928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AF9A13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29E14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2EAECB4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01DEDF2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47B0628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7BBDBCE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2B87999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76F0927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7EF175E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746FBAC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52435C4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75333FA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4B2AD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4C64F6E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45F6E00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5445004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67F485D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351ED7C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651FC1C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538603B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0D8CCC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25CD673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53143EB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6CC24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3526FC9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72703C2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6E4FC66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18BD4C3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0091004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3765589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7E3659AE">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16891FA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5C71B28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7FDBF80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395C64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79B30B8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10B92F6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23E5C7D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533EA962">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1B772E4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69DA2B3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63ECE19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02ABEAA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05AC34F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089545B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62E21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187BD44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4698357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53F7607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1191F42B">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472D7BC6">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2ACEBF5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531683A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53B5508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2870342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7376B68A">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4202F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731" w:type="dxa"/>
            <w:noWrap w:val="0"/>
            <w:vAlign w:val="top"/>
          </w:tcPr>
          <w:p w14:paraId="1419068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5898A0E4">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2AB9B10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21890D2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1A87864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07D0B81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0C425FE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64BADCD8">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5490B9E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49422B37">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r w14:paraId="059FE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31" w:type="dxa"/>
            <w:noWrap w:val="0"/>
            <w:vAlign w:val="top"/>
          </w:tcPr>
          <w:p w14:paraId="052B0D3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353" w:type="dxa"/>
            <w:noWrap w:val="0"/>
            <w:vAlign w:val="top"/>
          </w:tcPr>
          <w:p w14:paraId="67851BF3">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189" w:type="dxa"/>
            <w:noWrap w:val="0"/>
            <w:vAlign w:val="top"/>
          </w:tcPr>
          <w:p w14:paraId="34CEADE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3ABF3991">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7" w:type="dxa"/>
            <w:noWrap w:val="0"/>
            <w:vAlign w:val="top"/>
          </w:tcPr>
          <w:p w14:paraId="204C291D">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706" w:type="dxa"/>
            <w:noWrap w:val="0"/>
            <w:vAlign w:val="top"/>
          </w:tcPr>
          <w:p w14:paraId="101BFB4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645D076C">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1E5B039F">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498A3240">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c>
          <w:tcPr>
            <w:tcW w:w="1037" w:type="dxa"/>
            <w:noWrap w:val="0"/>
            <w:vAlign w:val="top"/>
          </w:tcPr>
          <w:p w14:paraId="3DE68315">
            <w:pPr>
              <w:keepNext w:val="0"/>
              <w:keepLines w:val="0"/>
              <w:pageBreakBefore w:val="0"/>
              <w:widowControl w:val="0"/>
              <w:kinsoku/>
              <w:wordWrap w:val="0"/>
              <w:overflowPunct/>
              <w:topLinePunct/>
              <w:autoSpaceDE/>
              <w:autoSpaceDN/>
              <w:bidi w:val="0"/>
              <w:adjustRightInd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color w:val="auto"/>
                <w:szCs w:val="21"/>
                <w:highlight w:val="none"/>
              </w:rPr>
            </w:pPr>
          </w:p>
        </w:tc>
      </w:tr>
    </w:tbl>
    <w:p w14:paraId="18B3F4C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p>
    <w:p w14:paraId="07D4387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备注：除合同另有约定外，本表所列发包人供应材料和工程设备的数量不考虑施工损耗，施工损耗被认为已经包括在承包人的投标价格中。</w:t>
      </w:r>
    </w:p>
    <w:p w14:paraId="38D1845A">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outlineLvl w:val="9"/>
        <w:rPr>
          <w:rFonts w:hint="eastAsia" w:ascii="宋体" w:hAnsi="宋体" w:eastAsia="宋体" w:cs="宋体"/>
          <w:color w:val="auto"/>
          <w:sz w:val="21"/>
          <w:szCs w:val="21"/>
          <w:highlight w:val="none"/>
        </w:rPr>
      </w:pPr>
    </w:p>
    <w:p w14:paraId="62D57BB7">
      <w:pPr>
        <w:pStyle w:val="2"/>
        <w:keepNext w:val="0"/>
        <w:keepLines w:val="0"/>
        <w:pageBreakBefore w:val="0"/>
        <w:widowControl w:val="0"/>
        <w:kinsoku/>
        <w:wordWrap w:val="0"/>
        <w:overflowPunct/>
        <w:topLinePunct/>
        <w:autoSpaceDE/>
        <w:autoSpaceDN/>
        <w:bidi w:val="0"/>
        <w:adjustRightInd w:val="0"/>
        <w:snapToGrid w:val="0"/>
        <w:spacing w:before="0" w:beforeLines="0" w:line="360" w:lineRule="auto"/>
        <w:ind w:left="0" w:leftChars="0" w:right="0"/>
        <w:rPr>
          <w:rFonts w:hint="eastAsia" w:ascii="宋体" w:hAnsi="宋体" w:eastAsia="宋体" w:cs="宋体"/>
          <w:color w:val="auto"/>
          <w:sz w:val="21"/>
          <w:szCs w:val="21"/>
          <w:highlight w:val="none"/>
        </w:rPr>
      </w:pPr>
    </w:p>
    <w:p w14:paraId="62513D17">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附件三：工程质量保修书</w:t>
      </w:r>
    </w:p>
    <w:p w14:paraId="7E87294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91AC39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 xml:space="preserve"> </w:t>
      </w:r>
    </w:p>
    <w:p w14:paraId="775A50F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发包人和承包人根据《中华人民共和国</w:t>
      </w:r>
      <w:r>
        <w:rPr>
          <w:rFonts w:hint="eastAsia" w:ascii="宋体" w:hAnsi="宋体" w:eastAsia="宋体" w:cs="宋体"/>
          <w:color w:val="auto"/>
          <w:sz w:val="21"/>
          <w:szCs w:val="21"/>
          <w:highlight w:val="none"/>
          <w:lang w:eastAsia="zh-CN"/>
        </w:rPr>
        <w:t>市政公用</w:t>
      </w:r>
      <w:r>
        <w:rPr>
          <w:rFonts w:hint="eastAsia" w:ascii="宋体" w:hAnsi="宋体" w:eastAsia="宋体" w:cs="宋体"/>
          <w:color w:val="auto"/>
          <w:sz w:val="21"/>
          <w:szCs w:val="21"/>
          <w:highlight w:val="none"/>
        </w:rPr>
        <w:t>法》和《建设工程质量管理条例》，经协商一致就</w:t>
      </w:r>
      <w:r>
        <w:rPr>
          <w:rFonts w:hint="eastAsia" w:ascii="宋体" w:hAnsi="宋体" w:eastAsia="宋体" w:cs="宋体"/>
          <w:color w:val="auto"/>
          <w:sz w:val="21"/>
          <w:szCs w:val="21"/>
          <w:highlight w:val="none"/>
          <w:u w:val="single"/>
        </w:rPr>
        <w:t xml:space="preserve">     </w:t>
      </w:r>
    </w:p>
    <w:p w14:paraId="1E60F75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（工程全称）签订工程质量保修书。</w:t>
      </w:r>
    </w:p>
    <w:p w14:paraId="06CE3CA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一、工程质量保修范围和内容</w:t>
      </w:r>
    </w:p>
    <w:p w14:paraId="3671683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承包人在质量保修期内，按照有关法律规定和合同约定，承担工程质量保修责任。</w:t>
      </w:r>
    </w:p>
    <w:p w14:paraId="3480A35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rPr>
        <w:t>　　</w:t>
      </w:r>
    </w:p>
    <w:p w14:paraId="1A48F83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二、质量保修期</w:t>
      </w:r>
    </w:p>
    <w:p w14:paraId="4F33682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双方根据《建设工程质量管理条例》及有关规定，约定工程的质量保修期如下：</w:t>
      </w:r>
    </w:p>
    <w:p w14:paraId="317E5D4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341ACEA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2．屋面防水工程、有防水要求的卫生间、房间和外墙面的防渗为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02D94EB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5063594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7690D1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5FE4F68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07D6B96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p>
    <w:p w14:paraId="3A9FF91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质量保修期自工程竣工验收合格之日起计算。</w:t>
      </w:r>
    </w:p>
    <w:p w14:paraId="587096F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w:t>
      </w:r>
      <w:r>
        <w:rPr>
          <w:rFonts w:hint="eastAsia" w:ascii="宋体" w:hAnsi="宋体" w:eastAsia="宋体" w:cs="宋体"/>
          <w:b/>
          <w:bCs/>
          <w:color w:val="auto"/>
          <w:sz w:val="21"/>
          <w:szCs w:val="21"/>
          <w:highlight w:val="none"/>
          <w:lang w:eastAsia="zh-CN"/>
        </w:rPr>
        <w:t>质保期</w:t>
      </w:r>
    </w:p>
    <w:p w14:paraId="7B5565A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eastAsia="zh-CN"/>
        </w:rPr>
        <w:t>质保期</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eastAsia="zh-CN"/>
        </w:rPr>
        <w:t>质保期</w:t>
      </w:r>
      <w:r>
        <w:rPr>
          <w:rFonts w:hint="eastAsia" w:ascii="宋体" w:hAnsi="宋体" w:eastAsia="宋体" w:cs="宋体"/>
          <w:color w:val="auto"/>
          <w:sz w:val="21"/>
          <w:szCs w:val="21"/>
          <w:highlight w:val="none"/>
        </w:rPr>
        <w:t>自工程竣工验收合格之日起计算。单位工程先于全部工程进行验收，单位工程</w:t>
      </w:r>
      <w:r>
        <w:rPr>
          <w:rFonts w:hint="eastAsia" w:ascii="宋体" w:hAnsi="宋体" w:eastAsia="宋体" w:cs="宋体"/>
          <w:color w:val="auto"/>
          <w:sz w:val="21"/>
          <w:szCs w:val="21"/>
          <w:highlight w:val="none"/>
          <w:lang w:eastAsia="zh-CN"/>
        </w:rPr>
        <w:t>质保期</w:t>
      </w:r>
      <w:r>
        <w:rPr>
          <w:rFonts w:hint="eastAsia" w:ascii="宋体" w:hAnsi="宋体" w:eastAsia="宋体" w:cs="宋体"/>
          <w:color w:val="auto"/>
          <w:sz w:val="21"/>
          <w:szCs w:val="21"/>
          <w:highlight w:val="none"/>
        </w:rPr>
        <w:t>自单位工程验收合格之日起算。</w:t>
      </w:r>
    </w:p>
    <w:p w14:paraId="4763829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质保期</w:t>
      </w:r>
      <w:r>
        <w:rPr>
          <w:rFonts w:hint="eastAsia" w:ascii="宋体" w:hAnsi="宋体" w:eastAsia="宋体" w:cs="宋体"/>
          <w:color w:val="auto"/>
          <w:sz w:val="21"/>
          <w:szCs w:val="21"/>
          <w:highlight w:val="none"/>
        </w:rPr>
        <w:t>终止后，发包人应退还剩余的质量保证金。</w:t>
      </w:r>
    </w:p>
    <w:p w14:paraId="139FAB9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四、质量保修责任</w:t>
      </w:r>
    </w:p>
    <w:p w14:paraId="794E6CB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48EB5CA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27A9F47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22C236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20DBF92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五、保修费用</w:t>
      </w:r>
    </w:p>
    <w:p w14:paraId="565CE75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保修费用由造成质量缺陷的责任方承担。</w:t>
      </w:r>
    </w:p>
    <w:p w14:paraId="3DEBAA4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双方约定的其他工程质量保修事项：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3C3B4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399" w:firstLineChars="190"/>
        <w:rPr>
          <w:rFonts w:hint="eastAsia" w:ascii="宋体" w:hAnsi="宋体" w:eastAsia="宋体" w:cs="宋体"/>
          <w:color w:val="auto"/>
          <w:sz w:val="21"/>
          <w:szCs w:val="21"/>
          <w:highlight w:val="none"/>
        </w:rPr>
      </w:pPr>
    </w:p>
    <w:p w14:paraId="5B18927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68008A9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rPr>
          <w:rFonts w:hint="eastAsia" w:ascii="宋体" w:hAnsi="宋体" w:eastAsia="宋体" w:cs="宋体"/>
          <w:color w:val="auto"/>
          <w:sz w:val="21"/>
          <w:szCs w:val="21"/>
          <w:highlight w:val="none"/>
        </w:rPr>
      </w:pPr>
    </w:p>
    <w:p w14:paraId="2322811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353DFF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4875319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法定代表人(签字)：</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A5F7BC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委托代理人(签字)：</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4ED660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A558D9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CAB71B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546AE4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645A22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D87374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59AEAA8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7521CC5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302D399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2DFC3ED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5BFC11A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62108F69">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3CAA365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7D0928F4">
      <w:pPr>
        <w:pStyle w:val="2"/>
        <w:keepNext w:val="0"/>
        <w:keepLines w:val="0"/>
        <w:pageBreakBefore w:val="0"/>
        <w:widowControl w:val="0"/>
        <w:kinsoku/>
        <w:wordWrap w:val="0"/>
        <w:overflowPunct/>
        <w:topLinePunct/>
        <w:autoSpaceDE/>
        <w:autoSpaceDN/>
        <w:bidi w:val="0"/>
        <w:adjustRightInd w:val="0"/>
        <w:snapToGrid w:val="0"/>
        <w:spacing w:before="0" w:beforeLines="0" w:line="360" w:lineRule="auto"/>
        <w:ind w:left="0" w:leftChars="0" w:right="0" w:rightChars="0"/>
        <w:rPr>
          <w:rFonts w:hint="eastAsia" w:ascii="宋体" w:hAnsi="宋体" w:eastAsia="宋体" w:cs="宋体"/>
          <w:color w:val="auto"/>
          <w:sz w:val="21"/>
          <w:szCs w:val="21"/>
          <w:highlight w:val="none"/>
        </w:rPr>
      </w:pPr>
    </w:p>
    <w:p w14:paraId="07607C3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73AAF477">
      <w:pPr>
        <w:pStyle w:val="2"/>
        <w:keepNext w:val="0"/>
        <w:keepLines w:val="0"/>
        <w:pageBreakBefore w:val="0"/>
        <w:widowControl w:val="0"/>
        <w:kinsoku/>
        <w:wordWrap w:val="0"/>
        <w:overflowPunct/>
        <w:topLinePunct/>
        <w:autoSpaceDE/>
        <w:autoSpaceDN/>
        <w:bidi w:val="0"/>
        <w:adjustRightInd w:val="0"/>
        <w:snapToGrid w:val="0"/>
        <w:spacing w:before="0" w:beforeLines="0" w:line="360" w:lineRule="auto"/>
        <w:ind w:left="0" w:leftChars="0" w:right="0" w:rightChars="0"/>
        <w:rPr>
          <w:rFonts w:hint="eastAsia" w:ascii="宋体" w:hAnsi="宋体" w:eastAsia="宋体" w:cs="宋体"/>
          <w:color w:val="auto"/>
          <w:sz w:val="21"/>
          <w:szCs w:val="21"/>
          <w:highlight w:val="none"/>
        </w:rPr>
      </w:pPr>
    </w:p>
    <w:p w14:paraId="50DC989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2CC94B7F">
      <w:pPr>
        <w:pStyle w:val="2"/>
        <w:keepNext w:val="0"/>
        <w:keepLines w:val="0"/>
        <w:pageBreakBefore w:val="0"/>
        <w:widowControl w:val="0"/>
        <w:kinsoku/>
        <w:wordWrap w:val="0"/>
        <w:overflowPunct/>
        <w:topLinePunct/>
        <w:autoSpaceDE/>
        <w:autoSpaceDN/>
        <w:bidi w:val="0"/>
        <w:adjustRightInd w:val="0"/>
        <w:snapToGrid w:val="0"/>
        <w:spacing w:before="0" w:beforeLines="0" w:line="360" w:lineRule="auto"/>
        <w:ind w:left="0" w:leftChars="0" w:right="0" w:rightChars="0"/>
        <w:rPr>
          <w:rFonts w:hint="eastAsia" w:ascii="宋体" w:hAnsi="宋体" w:eastAsia="宋体" w:cs="宋体"/>
          <w:color w:val="auto"/>
          <w:sz w:val="21"/>
          <w:szCs w:val="21"/>
          <w:highlight w:val="none"/>
        </w:rPr>
      </w:pPr>
    </w:p>
    <w:p w14:paraId="02C6C86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1A3BDC90">
      <w:pPr>
        <w:pStyle w:val="2"/>
        <w:keepNext w:val="0"/>
        <w:keepLines w:val="0"/>
        <w:pageBreakBefore w:val="0"/>
        <w:widowControl w:val="0"/>
        <w:kinsoku/>
        <w:wordWrap w:val="0"/>
        <w:overflowPunct/>
        <w:topLinePunct/>
        <w:autoSpaceDE/>
        <w:autoSpaceDN/>
        <w:bidi w:val="0"/>
        <w:adjustRightInd w:val="0"/>
        <w:snapToGrid w:val="0"/>
        <w:spacing w:before="0" w:beforeLines="0" w:line="360" w:lineRule="auto"/>
        <w:ind w:left="0" w:leftChars="0" w:right="0" w:rightChars="0"/>
        <w:rPr>
          <w:rFonts w:hint="eastAsia" w:ascii="宋体" w:hAnsi="宋体" w:eastAsia="宋体" w:cs="宋体"/>
          <w:color w:val="auto"/>
          <w:sz w:val="21"/>
          <w:szCs w:val="21"/>
          <w:highlight w:val="none"/>
        </w:rPr>
      </w:pPr>
    </w:p>
    <w:p w14:paraId="4D3C774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6056D991">
      <w:pPr>
        <w:pStyle w:val="2"/>
        <w:keepNext w:val="0"/>
        <w:keepLines w:val="0"/>
        <w:pageBreakBefore w:val="0"/>
        <w:widowControl w:val="0"/>
        <w:kinsoku/>
        <w:wordWrap w:val="0"/>
        <w:overflowPunct/>
        <w:topLinePunct/>
        <w:autoSpaceDE/>
        <w:autoSpaceDN/>
        <w:bidi w:val="0"/>
        <w:adjustRightInd w:val="0"/>
        <w:snapToGrid w:val="0"/>
        <w:spacing w:before="0" w:beforeLines="0" w:line="360" w:lineRule="auto"/>
        <w:ind w:left="0" w:leftChars="0" w:right="0" w:rightChars="0"/>
        <w:rPr>
          <w:rFonts w:hint="eastAsia" w:ascii="宋体" w:hAnsi="宋体" w:eastAsia="宋体" w:cs="宋体"/>
          <w:color w:val="auto"/>
          <w:sz w:val="21"/>
          <w:szCs w:val="21"/>
          <w:highlight w:val="none"/>
        </w:rPr>
      </w:pPr>
    </w:p>
    <w:p w14:paraId="24D9B0FB">
      <w:pPr>
        <w:rPr>
          <w:rFonts w:hint="eastAsia" w:ascii="宋体" w:hAnsi="宋体" w:eastAsia="宋体" w:cs="宋体"/>
          <w:color w:val="auto"/>
          <w:sz w:val="21"/>
          <w:szCs w:val="21"/>
          <w:highlight w:val="none"/>
        </w:rPr>
      </w:pPr>
    </w:p>
    <w:p w14:paraId="568F8776">
      <w:pPr>
        <w:pStyle w:val="2"/>
        <w:rPr>
          <w:rFonts w:hint="eastAsia" w:ascii="宋体" w:hAnsi="宋体" w:eastAsia="宋体" w:cs="宋体"/>
          <w:color w:val="auto"/>
          <w:highlight w:val="none"/>
        </w:rPr>
      </w:pPr>
    </w:p>
    <w:p w14:paraId="41F56D8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7B375436">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p>
    <w:p w14:paraId="2CFB0A14">
      <w:pPr>
        <w:pStyle w:val="5"/>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附件四：廉政责任书格式</w:t>
      </w:r>
    </w:p>
    <w:p w14:paraId="225870A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建设工程廉政责任书</w:t>
      </w:r>
    </w:p>
    <w:p w14:paraId="1500545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p>
    <w:p w14:paraId="3F3A31A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p>
    <w:p w14:paraId="67A953C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0BC390C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一、双方的责任</w:t>
      </w:r>
    </w:p>
    <w:p w14:paraId="5F8D1EA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1.1应严格遵守国家关于建设工程的有关法律、法规，相关政策，以及廉政建设的各项规定。</w:t>
      </w:r>
    </w:p>
    <w:p w14:paraId="2F2F8D6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1.2严格执行建设工程合同文件，自觉按合同办事。</w:t>
      </w:r>
    </w:p>
    <w:p w14:paraId="35D2633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1.3各项活动必须坚持公开、公平、公正、诚信、透明的原则(除法律法规另有规定者外)，不得为获取不正当的利益，损害国家、集体和对方利益，不得违反建设工程管理的规章制度。</w:t>
      </w:r>
    </w:p>
    <w:p w14:paraId="1EF9FA7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1.4发现对方在业务活动中有违规、违纪、违法行为的，应及时提醒对方，情节严重的，应向其上级主管部门或纪检监察、司法等有关机关举报。</w:t>
      </w:r>
    </w:p>
    <w:p w14:paraId="674CE92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二、发包人责任</w:t>
      </w:r>
    </w:p>
    <w:p w14:paraId="5C34235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发包人的领导和从事该建设工程项目的工作人员，在工程建设的事前、事中、事后应遵守以下规定：</w:t>
      </w:r>
    </w:p>
    <w:p w14:paraId="75B838E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2.1不得向承包人和相关单位索要或接受回扣、礼金、有价证券、贵重物品和好处费、感谢费等。</w:t>
      </w:r>
    </w:p>
    <w:p w14:paraId="0BDA6AB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2.2不得在承包人和相关单位报销任何应由发包人或个人支付的费用。</w:t>
      </w:r>
    </w:p>
    <w:p w14:paraId="3615821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2.3不得要求、暗示或接受承包人和相关单位为个人装修住房、婚丧嫁娶、配偶子女的工作安排以及出国(境)、旅游等提供方便。</w:t>
      </w:r>
    </w:p>
    <w:p w14:paraId="5B733BE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2.4不得参加有可能影响公正执行公务的承包人和相关单位的宴请、健身、娱乐等活动。</w:t>
      </w:r>
    </w:p>
    <w:p w14:paraId="068029EA">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2.5不得向承包人和相关单位介绍或为配偶、子女、亲属参与同发包人工程建设管理合同有关的业务活动；不得以任何理由要求承包人和相关单位使用某种产品、材料和设备。</w:t>
      </w:r>
    </w:p>
    <w:p w14:paraId="5440D1C1">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三、承包人责任</w:t>
      </w:r>
    </w:p>
    <w:p w14:paraId="7443B73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应与发包人保持正常的业务交往，按照有关法律法规和程序开展业务工作，严格执行工程建设的有关方针、政策，执行工程建设强制性标准，并遵守以下规定：</w:t>
      </w:r>
    </w:p>
    <w:p w14:paraId="1050CCE8">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3.1不得以任何理由向发包人及其工作人员索要、接受或赠送礼金、有价证券、贵重物品及回扣、好处费、感谢费等。</w:t>
      </w:r>
    </w:p>
    <w:p w14:paraId="7CDBCD6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3.2不得以任何理由为发包人和相关单位报销应由对方或个人支付的费用。</w:t>
      </w:r>
    </w:p>
    <w:p w14:paraId="7585DD5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3.3不得接受或暗示为发包人、相关单位或个人装修住房、婚丧嫁娶、配偶子女的工作安排以及出国(境)、旅游等提供方便。</w:t>
      </w:r>
    </w:p>
    <w:p w14:paraId="1B4B37D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3.4不得以任何理由为发包人、相关单位或个人组织有可能影响公正执行公务的宴请、健身、娱乐等活动。</w:t>
      </w:r>
    </w:p>
    <w:p w14:paraId="2F5D7D0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b/>
          <w:bCs/>
          <w:color w:val="auto"/>
          <w:sz w:val="21"/>
          <w:szCs w:val="21"/>
          <w:highlight w:val="none"/>
        </w:rPr>
      </w:pPr>
    </w:p>
    <w:p w14:paraId="4A3D6B1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四、违约责任</w:t>
      </w:r>
    </w:p>
    <w:p w14:paraId="1757695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4.1发包人工作人员有违反本责任书第一、二条责任行为的，依据有关法律、法规给予处理；涉嫌犯罪的，移交司法机关追究刑事责任；给承包人单位造成经济损失的，应予以赔偿。</w:t>
      </w:r>
    </w:p>
    <w:p w14:paraId="4E1E343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4.2承包人工作人员有违反本责任书第一、三条责任行为的，依据有关法律法规处理；涉嫌犯罪的，移交司法机关追究刑事责任；给发包人单位造成经济损失的，应予以赔偿。</w:t>
      </w:r>
    </w:p>
    <w:p w14:paraId="10182D2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4.3本责任书作为建设工程合同的组成部分，与建设工程合同具有同等法律效力。经双方签署后立即</w:t>
      </w:r>
      <w:r>
        <w:rPr>
          <w:rFonts w:hint="eastAsia" w:ascii="宋体" w:hAnsi="宋体" w:eastAsia="宋体" w:cs="宋体"/>
          <w:b w:val="0"/>
          <w:bCs w:val="0"/>
          <w:color w:val="auto"/>
          <w:sz w:val="21"/>
          <w:szCs w:val="21"/>
          <w:highlight w:val="none"/>
        </w:rPr>
        <w:t>生效。</w:t>
      </w:r>
    </w:p>
    <w:p w14:paraId="45EF605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五、责任书有效期</w:t>
      </w:r>
    </w:p>
    <w:p w14:paraId="09BBFD3F">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本责任书的有效期为双方签署之日起至该工程项目竣工验收合格时止。</w:t>
      </w:r>
    </w:p>
    <w:p w14:paraId="1CAA11E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六、责任书份数</w:t>
      </w:r>
    </w:p>
    <w:p w14:paraId="45C9876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本责任书一式二份，发包人承包人各执一份，具有同等效力。</w:t>
      </w:r>
    </w:p>
    <w:p w14:paraId="36F08A7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(公章)    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(公章)</w:t>
      </w:r>
    </w:p>
    <w:p w14:paraId="2DB52527">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法定地址：</w:t>
      </w:r>
      <w:r>
        <w:rPr>
          <w:rFonts w:hint="eastAsia" w:ascii="宋体" w:hAnsi="宋体" w:eastAsia="宋体" w:cs="宋体"/>
          <w:color w:val="auto"/>
          <w:sz w:val="21"/>
          <w:szCs w:val="21"/>
          <w:highlight w:val="none"/>
          <w:u w:val="single"/>
        </w:rPr>
        <w:t xml:space="preserve">                   </w:t>
      </w:r>
    </w:p>
    <w:p w14:paraId="76FB509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                         法定代表人或其</w:t>
      </w:r>
    </w:p>
    <w:p w14:paraId="418C51E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    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(签字)</w:t>
      </w:r>
    </w:p>
    <w:p w14:paraId="4151688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w:t>
      </w:r>
      <w:r>
        <w:rPr>
          <w:rFonts w:hint="eastAsia" w:ascii="宋体" w:hAnsi="宋体" w:eastAsia="宋体" w:cs="宋体"/>
          <w:color w:val="auto"/>
          <w:sz w:val="21"/>
          <w:szCs w:val="21"/>
          <w:highlight w:val="none"/>
          <w:u w:val="single"/>
        </w:rPr>
        <w:t xml:space="preserve">                       　 </w:t>
      </w:r>
    </w:p>
    <w:p w14:paraId="49A9CA3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　</w:t>
      </w:r>
      <w:r>
        <w:rPr>
          <w:rFonts w:hint="eastAsia" w:ascii="宋体" w:hAnsi="宋体" w:eastAsia="宋体" w:cs="宋体"/>
          <w:color w:val="auto"/>
          <w:sz w:val="21"/>
          <w:szCs w:val="21"/>
          <w:highlight w:val="none"/>
          <w:u w:val="single"/>
        </w:rPr>
        <w:t xml:space="preserve">                        </w:t>
      </w:r>
    </w:p>
    <w:p w14:paraId="646EE405">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电子邮箱：</w:t>
      </w:r>
      <w:r>
        <w:rPr>
          <w:rFonts w:hint="eastAsia" w:ascii="宋体" w:hAnsi="宋体" w:eastAsia="宋体" w:cs="宋体"/>
          <w:color w:val="auto"/>
          <w:sz w:val="21"/>
          <w:szCs w:val="21"/>
          <w:highlight w:val="none"/>
          <w:u w:val="single"/>
        </w:rPr>
        <w:t xml:space="preserve">                      </w:t>
      </w:r>
    </w:p>
    <w:p w14:paraId="2A4FE176">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14:paraId="0EBC3A74">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帐号：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0BCA7B9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2131014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i w:val="0"/>
          <w:iCs w:val="0"/>
          <w:color w:val="auto"/>
          <w:szCs w:val="21"/>
          <w:highlight w:val="none"/>
          <w:u w:val="single"/>
        </w:rPr>
      </w:pPr>
    </w:p>
    <w:p w14:paraId="099A9914">
      <w:pPr>
        <w:pStyle w:val="5"/>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left"/>
        <w:outlineLvl w:val="9"/>
        <w:rPr>
          <w:rFonts w:hint="eastAsia" w:ascii="宋体" w:hAnsi="宋体" w:eastAsia="宋体" w:cs="宋体"/>
          <w:i w:val="0"/>
          <w:iCs w:val="0"/>
          <w:color w:val="auto"/>
          <w:szCs w:val="21"/>
          <w:highlight w:val="none"/>
          <w:u w:val="single"/>
        </w:rPr>
      </w:pPr>
    </w:p>
    <w:p w14:paraId="1AF69283">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Pr>
          <w:rFonts w:hint="eastAsia" w:ascii="宋体" w:hAnsi="宋体" w:eastAsia="宋体" w:cs="宋体"/>
          <w:i w:val="0"/>
          <w:iCs w:val="0"/>
          <w:color w:val="auto"/>
          <w:szCs w:val="21"/>
          <w:highlight w:val="none"/>
          <w:u w:val="single"/>
        </w:rPr>
      </w:pPr>
    </w:p>
    <w:p w14:paraId="039D23D7">
      <w:pPr>
        <w:pStyle w:val="4"/>
        <w:keepNext w:val="0"/>
        <w:keepLines w:val="0"/>
        <w:pageBreakBefore w:val="0"/>
        <w:widowControl w:val="0"/>
        <w:kinsoku/>
        <w:wordWrap w:val="0"/>
        <w:overflowPunct/>
        <w:topLinePunct/>
        <w:autoSpaceDE/>
        <w:autoSpaceDN/>
        <w:bidi w:val="0"/>
        <w:adjustRightInd w:val="0"/>
        <w:snapToGrid w:val="0"/>
        <w:spacing w:before="0" w:after="0" w:line="360" w:lineRule="auto"/>
        <w:ind w:left="0" w:leftChars="0" w:right="0"/>
        <w:outlineLvl w:val="9"/>
        <w:rPr>
          <w:rFonts w:hint="eastAsia" w:ascii="宋体" w:hAnsi="宋体" w:eastAsia="宋体" w:cs="宋体"/>
          <w:i w:val="0"/>
          <w:iCs w:val="0"/>
          <w:color w:val="auto"/>
          <w:szCs w:val="21"/>
          <w:highlight w:val="none"/>
          <w:u w:val="single"/>
        </w:rPr>
      </w:pPr>
    </w:p>
    <w:p w14:paraId="5C0094CE">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Pr>
          <w:rFonts w:hint="eastAsia" w:ascii="宋体" w:hAnsi="宋体" w:eastAsia="宋体" w:cs="宋体"/>
          <w:i w:val="0"/>
          <w:iCs w:val="0"/>
          <w:color w:val="auto"/>
          <w:szCs w:val="21"/>
          <w:highlight w:val="none"/>
          <w:u w:val="single"/>
        </w:rPr>
      </w:pPr>
    </w:p>
    <w:p w14:paraId="7465A7B7">
      <w:pPr>
        <w:pStyle w:val="2"/>
        <w:rPr>
          <w:rFonts w:hint="eastAsia" w:ascii="宋体" w:hAnsi="宋体" w:eastAsia="宋体" w:cs="宋体"/>
          <w:i w:val="0"/>
          <w:iCs w:val="0"/>
          <w:color w:val="auto"/>
          <w:szCs w:val="21"/>
          <w:highlight w:val="none"/>
          <w:u w:val="single"/>
        </w:rPr>
      </w:pPr>
    </w:p>
    <w:p w14:paraId="7AB49DEB">
      <w:pPr>
        <w:rPr>
          <w:rFonts w:hint="eastAsia" w:ascii="宋体" w:hAnsi="宋体" w:eastAsia="宋体" w:cs="宋体"/>
          <w:i w:val="0"/>
          <w:iCs w:val="0"/>
          <w:color w:val="auto"/>
          <w:szCs w:val="21"/>
          <w:highlight w:val="none"/>
          <w:u w:val="single"/>
        </w:rPr>
      </w:pPr>
    </w:p>
    <w:p w14:paraId="020C6497">
      <w:pPr>
        <w:pStyle w:val="2"/>
        <w:rPr>
          <w:rFonts w:hint="eastAsia" w:ascii="宋体" w:hAnsi="宋体" w:eastAsia="宋体" w:cs="宋体"/>
          <w:i w:val="0"/>
          <w:iCs w:val="0"/>
          <w:color w:val="auto"/>
          <w:szCs w:val="21"/>
          <w:highlight w:val="none"/>
          <w:u w:val="single"/>
        </w:rPr>
      </w:pPr>
    </w:p>
    <w:p w14:paraId="3E9472B9">
      <w:pPr>
        <w:pStyle w:val="2"/>
        <w:rPr>
          <w:rFonts w:hint="eastAsia" w:ascii="宋体" w:hAnsi="宋体" w:eastAsia="宋体" w:cs="宋体"/>
          <w:color w:val="auto"/>
          <w:highlight w:val="none"/>
        </w:rPr>
      </w:pPr>
    </w:p>
    <w:p w14:paraId="3E94805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0"/>
        <w:rPr>
          <w:rFonts w:hint="eastAsia" w:ascii="宋体" w:hAnsi="宋体" w:eastAsia="宋体" w:cs="宋体"/>
          <w:b/>
          <w:color w:val="auto"/>
          <w:sz w:val="32"/>
          <w:szCs w:val="32"/>
          <w:highlight w:val="none"/>
        </w:rPr>
      </w:pPr>
      <w:bookmarkStart w:id="40" w:name="_Toc19694"/>
      <w:bookmarkStart w:id="41" w:name="_Toc27613"/>
      <w:bookmarkStart w:id="42" w:name="_Toc19317"/>
    </w:p>
    <w:p w14:paraId="4291A0D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 xml:space="preserve">第六部分  </w:t>
      </w:r>
      <w:r>
        <w:rPr>
          <w:rFonts w:hint="eastAsia" w:ascii="宋体" w:hAnsi="宋体" w:eastAsia="宋体" w:cs="宋体"/>
          <w:b/>
          <w:color w:val="auto"/>
          <w:sz w:val="32"/>
          <w:szCs w:val="32"/>
          <w:highlight w:val="none"/>
          <w:lang w:val="en-US" w:eastAsia="zh-CN"/>
        </w:rPr>
        <w:t>采购控制价</w:t>
      </w:r>
      <w:bookmarkEnd w:id="40"/>
      <w:bookmarkEnd w:id="41"/>
      <w:bookmarkEnd w:id="42"/>
    </w:p>
    <w:p w14:paraId="5CE2441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0"/>
        <w:rPr>
          <w:rFonts w:hint="eastAsia" w:ascii="宋体" w:hAnsi="宋体" w:eastAsia="宋体" w:cs="宋体"/>
          <w:b/>
          <w:color w:val="auto"/>
          <w:sz w:val="32"/>
          <w:szCs w:val="32"/>
          <w:highlight w:val="none"/>
          <w:lang w:val="en-US" w:eastAsia="zh-CN"/>
        </w:rPr>
      </w:pPr>
    </w:p>
    <w:p w14:paraId="11E9CC47">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464FABC4">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6A69C913">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615E6CF9">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0DC759D4">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6C94E502">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3610BB16">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1F8A9A17">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4C6D145B">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7F07B341">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6EE588BD">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6EFDDB6A">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4EF2A440">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6E645EAE">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36FAFF37">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5E6EFEE3">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325C2465">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11EEFF97">
      <w:pPr>
        <w:pStyle w:val="3"/>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9"/>
        <w:rPr>
          <w:rFonts w:hint="eastAsia" w:ascii="宋体" w:hAnsi="宋体" w:eastAsia="宋体" w:cs="宋体"/>
          <w:b/>
          <w:bCs/>
          <w:i w:val="0"/>
          <w:iCs w:val="0"/>
          <w:color w:val="auto"/>
          <w:sz w:val="32"/>
          <w:szCs w:val="32"/>
          <w:highlight w:val="none"/>
        </w:rPr>
      </w:pPr>
    </w:p>
    <w:p w14:paraId="6A07C739">
      <w:pPr>
        <w:keepNext w:val="0"/>
        <w:keepLines w:val="0"/>
        <w:pageBreakBefore w:val="0"/>
        <w:widowControl w:val="0"/>
        <w:numPr>
          <w:ilvl w:val="0"/>
          <w:numId w:val="1"/>
        </w:numPr>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0"/>
        <w:rPr>
          <w:rFonts w:hint="eastAsia" w:ascii="宋体" w:hAnsi="宋体" w:eastAsia="宋体" w:cs="宋体"/>
          <w:b/>
          <w:color w:val="auto"/>
          <w:sz w:val="32"/>
          <w:szCs w:val="32"/>
          <w:highlight w:val="none"/>
        </w:rPr>
      </w:pPr>
      <w:bookmarkStart w:id="43" w:name="_Toc8537"/>
      <w:bookmarkStart w:id="44" w:name="_Toc27167"/>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 xml:space="preserve"> 响应文件格式</w:t>
      </w:r>
      <w:bookmarkEnd w:id="43"/>
      <w:bookmarkEnd w:id="44"/>
    </w:p>
    <w:p w14:paraId="3F09F52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36"/>
          <w:szCs w:val="36"/>
          <w:highlight w:val="none"/>
        </w:rPr>
      </w:pPr>
    </w:p>
    <w:p w14:paraId="05A160D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0"/>
        <w:rPr>
          <w:rFonts w:hint="eastAsia" w:ascii="宋体" w:hAnsi="宋体" w:eastAsia="宋体" w:cs="宋体"/>
          <w:b/>
          <w:bCs/>
          <w:color w:val="auto"/>
          <w:kern w:val="0"/>
          <w:sz w:val="36"/>
          <w:szCs w:val="36"/>
          <w:highlight w:val="none"/>
          <w:lang w:eastAsia="zh-CN"/>
        </w:rPr>
      </w:pPr>
      <w:r>
        <w:rPr>
          <w:rFonts w:hint="eastAsia" w:ascii="宋体" w:hAnsi="宋体" w:cs="宋体"/>
          <w:b/>
          <w:bCs/>
          <w:color w:val="auto"/>
          <w:sz w:val="48"/>
          <w:szCs w:val="48"/>
          <w:highlight w:val="none"/>
          <w:u w:val="none"/>
          <w:lang w:eastAsia="zh-CN"/>
        </w:rPr>
        <w:t>邹城市石墙镇江庄村市级和美乡村示范村建设工程</w:t>
      </w:r>
    </w:p>
    <w:p w14:paraId="6D55762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440" w:firstLineChars="200"/>
        <w:jc w:val="center"/>
        <w:outlineLvl w:val="9"/>
        <w:rPr>
          <w:rFonts w:hint="eastAsia" w:ascii="宋体" w:hAnsi="宋体" w:eastAsia="宋体" w:cs="宋体"/>
          <w:i w:val="0"/>
          <w:iCs w:val="0"/>
          <w:color w:val="auto"/>
          <w:sz w:val="72"/>
          <w:szCs w:val="84"/>
          <w:highlight w:val="none"/>
        </w:rPr>
      </w:pPr>
    </w:p>
    <w:p w14:paraId="2E74BF6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0"/>
        <w:rPr>
          <w:rFonts w:hint="eastAsia" w:ascii="宋体" w:hAnsi="宋体" w:eastAsia="宋体" w:cs="宋体"/>
          <w:b/>
          <w:bCs/>
          <w:i w:val="0"/>
          <w:iCs w:val="0"/>
          <w:color w:val="auto"/>
          <w:sz w:val="72"/>
          <w:szCs w:val="72"/>
          <w:highlight w:val="none"/>
        </w:rPr>
      </w:pPr>
      <w:bookmarkStart w:id="45" w:name="_Toc27904"/>
      <w:bookmarkStart w:id="46" w:name="_Toc26783"/>
      <w:bookmarkStart w:id="47" w:name="_Toc17164"/>
      <w:r>
        <w:rPr>
          <w:rFonts w:hint="eastAsia" w:ascii="宋体" w:hAnsi="宋体" w:eastAsia="宋体" w:cs="宋体"/>
          <w:b/>
          <w:bCs/>
          <w:i w:val="0"/>
          <w:iCs w:val="0"/>
          <w:color w:val="auto"/>
          <w:sz w:val="72"/>
          <w:szCs w:val="72"/>
          <w:highlight w:val="none"/>
          <w:lang w:eastAsia="zh-CN"/>
        </w:rPr>
        <w:t>竞争性磋商</w:t>
      </w:r>
      <w:r>
        <w:rPr>
          <w:rFonts w:hint="eastAsia" w:ascii="宋体" w:hAnsi="宋体" w:eastAsia="宋体" w:cs="宋体"/>
          <w:b/>
          <w:bCs/>
          <w:i w:val="0"/>
          <w:iCs w:val="0"/>
          <w:color w:val="auto"/>
          <w:sz w:val="72"/>
          <w:szCs w:val="72"/>
          <w:highlight w:val="none"/>
        </w:rPr>
        <w:t>响应文件</w:t>
      </w:r>
      <w:bookmarkEnd w:id="45"/>
      <w:bookmarkEnd w:id="46"/>
      <w:bookmarkEnd w:id="47"/>
    </w:p>
    <w:p w14:paraId="467EF811">
      <w:pPr>
        <w:pStyle w:val="2"/>
        <w:jc w:val="center"/>
        <w:rPr>
          <w:rFonts w:hint="eastAsia" w:ascii="宋体" w:hAnsi="宋体" w:eastAsia="宋体" w:cs="宋体"/>
          <w:color w:val="auto"/>
          <w:lang w:eastAsia="zh-CN"/>
        </w:rPr>
      </w:pPr>
      <w:r>
        <w:rPr>
          <w:rFonts w:hint="eastAsia" w:ascii="宋体" w:hAnsi="宋体" w:eastAsia="宋体" w:cs="宋体"/>
          <w:b/>
          <w:bCs/>
          <w:i w:val="0"/>
          <w:iCs w:val="0"/>
          <w:color w:val="auto"/>
          <w:sz w:val="32"/>
          <w:szCs w:val="32"/>
          <w:highlight w:val="none"/>
          <w:lang w:eastAsia="zh-CN"/>
        </w:rPr>
        <w:t>项目编号：</w:t>
      </w:r>
      <w:r>
        <w:rPr>
          <w:rFonts w:hint="eastAsia" w:ascii="宋体" w:hAnsi="宋体" w:cs="宋体"/>
          <w:b/>
          <w:bCs/>
          <w:i w:val="0"/>
          <w:iCs w:val="0"/>
          <w:color w:val="auto"/>
          <w:sz w:val="32"/>
          <w:szCs w:val="32"/>
          <w:highlight w:val="none"/>
          <w:lang w:val="en-US" w:eastAsia="zh-CN"/>
        </w:rPr>
        <w:t>ZCTW-2025-022</w:t>
      </w:r>
    </w:p>
    <w:p w14:paraId="274B0E11">
      <w:pPr>
        <w:pStyle w:val="4"/>
        <w:keepNext w:val="0"/>
        <w:keepLines w:val="0"/>
        <w:pageBreakBefore w:val="0"/>
        <w:widowControl w:val="0"/>
        <w:kinsoku/>
        <w:wordWrap w:val="0"/>
        <w:overflowPunct/>
        <w:topLinePunct/>
        <w:autoSpaceDE/>
        <w:autoSpaceDN/>
        <w:bidi w:val="0"/>
        <w:adjustRightInd w:val="0"/>
        <w:snapToGrid w:val="0"/>
        <w:spacing w:before="0" w:after="0" w:line="360" w:lineRule="auto"/>
        <w:ind w:left="0" w:leftChars="0" w:right="0"/>
        <w:outlineLvl w:val="9"/>
        <w:rPr>
          <w:rFonts w:hint="eastAsia" w:ascii="宋体" w:hAnsi="宋体" w:eastAsia="宋体" w:cs="宋体"/>
          <w:i w:val="0"/>
          <w:iCs w:val="0"/>
          <w:color w:val="auto"/>
          <w:sz w:val="72"/>
          <w:szCs w:val="84"/>
          <w:highlight w:val="none"/>
        </w:rPr>
      </w:pPr>
    </w:p>
    <w:p w14:paraId="77BDF8EE">
      <w:pPr>
        <w:pStyle w:val="4"/>
        <w:keepNext w:val="0"/>
        <w:keepLines w:val="0"/>
        <w:pageBreakBefore w:val="0"/>
        <w:widowControl w:val="0"/>
        <w:kinsoku/>
        <w:wordWrap w:val="0"/>
        <w:overflowPunct/>
        <w:topLinePunct/>
        <w:autoSpaceDE/>
        <w:autoSpaceDN/>
        <w:bidi w:val="0"/>
        <w:adjustRightInd w:val="0"/>
        <w:snapToGrid w:val="0"/>
        <w:spacing w:before="0" w:after="0" w:line="360" w:lineRule="auto"/>
        <w:ind w:left="0" w:leftChars="0" w:right="0"/>
        <w:outlineLvl w:val="9"/>
        <w:rPr>
          <w:rFonts w:hint="eastAsia" w:ascii="宋体" w:hAnsi="宋体" w:eastAsia="宋体" w:cs="宋体"/>
          <w:color w:val="auto"/>
          <w:highlight w:val="none"/>
        </w:rPr>
      </w:pPr>
    </w:p>
    <w:p w14:paraId="31B64BFC">
      <w:pPr>
        <w:keepNext w:val="0"/>
        <w:keepLines w:val="0"/>
        <w:pageBreakBefore w:val="0"/>
        <w:widowControl w:val="0"/>
        <w:kinsoku/>
        <w:wordWrap w:val="0"/>
        <w:overflowPunct/>
        <w:topLinePunct/>
        <w:autoSpaceDE/>
        <w:autoSpaceDN/>
        <w:bidi w:val="0"/>
        <w:rPr>
          <w:rFonts w:hint="eastAsia" w:ascii="宋体" w:hAnsi="宋体" w:eastAsia="宋体" w:cs="宋体"/>
          <w:color w:val="auto"/>
          <w:highlight w:val="none"/>
        </w:rPr>
      </w:pPr>
    </w:p>
    <w:p w14:paraId="66DE2D22">
      <w:pPr>
        <w:pStyle w:val="2"/>
        <w:keepNext w:val="0"/>
        <w:keepLines w:val="0"/>
        <w:pageBreakBefore w:val="0"/>
        <w:widowControl w:val="0"/>
        <w:kinsoku/>
        <w:wordWrap w:val="0"/>
        <w:overflowPunct/>
        <w:topLinePunct/>
        <w:autoSpaceDE/>
        <w:autoSpaceDN/>
        <w:bidi w:val="0"/>
        <w:rPr>
          <w:rFonts w:hint="eastAsia" w:ascii="宋体" w:hAnsi="宋体" w:eastAsia="宋体" w:cs="宋体"/>
          <w:color w:val="auto"/>
          <w:highlight w:val="none"/>
        </w:rPr>
      </w:pPr>
    </w:p>
    <w:p w14:paraId="775921D7">
      <w:pPr>
        <w:rPr>
          <w:rFonts w:hint="eastAsia" w:ascii="宋体" w:hAnsi="宋体" w:eastAsia="宋体" w:cs="宋体"/>
          <w:color w:val="auto"/>
          <w:highlight w:val="none"/>
        </w:rPr>
      </w:pPr>
    </w:p>
    <w:p w14:paraId="7B6C1BD4">
      <w:pPr>
        <w:pStyle w:val="2"/>
        <w:rPr>
          <w:rFonts w:hint="eastAsia" w:ascii="宋体" w:hAnsi="宋体" w:eastAsia="宋体" w:cs="宋体"/>
          <w:color w:val="auto"/>
          <w:highlight w:val="none"/>
        </w:rPr>
      </w:pPr>
    </w:p>
    <w:p w14:paraId="69FE3F5B">
      <w:pPr>
        <w:rPr>
          <w:rFonts w:hint="eastAsia" w:ascii="宋体" w:hAnsi="宋体" w:eastAsia="宋体" w:cs="宋体"/>
          <w:color w:val="auto"/>
          <w:highlight w:val="none"/>
        </w:rPr>
      </w:pPr>
    </w:p>
    <w:p w14:paraId="4DBA7AB7">
      <w:pPr>
        <w:rPr>
          <w:rFonts w:hint="eastAsia" w:ascii="宋体" w:hAnsi="宋体" w:eastAsia="宋体" w:cs="宋体"/>
          <w:color w:val="auto"/>
          <w:highlight w:val="none"/>
        </w:rPr>
      </w:pPr>
    </w:p>
    <w:p w14:paraId="3C96EECB">
      <w:pPr>
        <w:pStyle w:val="2"/>
        <w:rPr>
          <w:rFonts w:hint="eastAsia" w:ascii="宋体" w:hAnsi="宋体" w:eastAsia="宋体" w:cs="宋体"/>
          <w:color w:val="auto"/>
          <w:highlight w:val="none"/>
        </w:rPr>
      </w:pPr>
    </w:p>
    <w:p w14:paraId="4318134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rPr>
          <w:rFonts w:hint="eastAsia" w:ascii="宋体" w:hAnsi="宋体" w:eastAsia="宋体" w:cs="宋体"/>
          <w:color w:val="auto"/>
          <w:highlight w:val="none"/>
        </w:rPr>
      </w:pPr>
    </w:p>
    <w:p w14:paraId="5AFEFEA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0"/>
        <w:rPr>
          <w:rFonts w:hint="eastAsia" w:ascii="宋体" w:hAnsi="宋体" w:eastAsia="宋体" w:cs="宋体"/>
          <w:b/>
          <w:bCs/>
          <w:i w:val="0"/>
          <w:iCs w:val="0"/>
          <w:color w:val="auto"/>
          <w:sz w:val="30"/>
          <w:szCs w:val="30"/>
          <w:highlight w:val="none"/>
        </w:rPr>
      </w:pPr>
      <w:bookmarkStart w:id="48" w:name="_Toc19904"/>
      <w:bookmarkStart w:id="49" w:name="_Toc11885"/>
      <w:bookmarkStart w:id="50" w:name="_Toc26481"/>
      <w:bookmarkStart w:id="51" w:name="_Toc29657"/>
      <w:r>
        <w:rPr>
          <w:rFonts w:hint="eastAsia" w:ascii="宋体" w:hAnsi="宋体" w:eastAsia="宋体" w:cs="宋体"/>
          <w:b/>
          <w:bCs/>
          <w:i w:val="0"/>
          <w:iCs w:val="0"/>
          <w:color w:val="auto"/>
          <w:sz w:val="30"/>
          <w:szCs w:val="30"/>
          <w:highlight w:val="none"/>
          <w:lang w:eastAsia="zh-CN"/>
        </w:rPr>
        <w:t>供应商：</w:t>
      </w:r>
      <w:r>
        <w:rPr>
          <w:rFonts w:hint="eastAsia" w:ascii="宋体" w:hAnsi="宋体" w:eastAsia="宋体" w:cs="宋体"/>
          <w:b/>
          <w:bCs/>
          <w:i w:val="0"/>
          <w:iCs w:val="0"/>
          <w:color w:val="auto"/>
          <w:sz w:val="30"/>
          <w:szCs w:val="30"/>
          <w:highlight w:val="none"/>
          <w:u w:val="single"/>
        </w:rPr>
        <w:t xml:space="preserve">                         </w:t>
      </w:r>
      <w:r>
        <w:rPr>
          <w:rFonts w:hint="eastAsia" w:ascii="宋体" w:hAnsi="宋体" w:eastAsia="宋体" w:cs="宋体"/>
          <w:b/>
          <w:bCs/>
          <w:i w:val="0"/>
          <w:iCs w:val="0"/>
          <w:color w:val="auto"/>
          <w:sz w:val="30"/>
          <w:szCs w:val="30"/>
          <w:highlight w:val="none"/>
        </w:rPr>
        <w:t>（盖单位章）</w:t>
      </w:r>
      <w:bookmarkEnd w:id="48"/>
      <w:bookmarkEnd w:id="49"/>
      <w:bookmarkEnd w:id="50"/>
      <w:bookmarkEnd w:id="51"/>
    </w:p>
    <w:p w14:paraId="6266C9F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0"/>
        <w:rPr>
          <w:rFonts w:hint="eastAsia" w:ascii="宋体" w:hAnsi="宋体" w:eastAsia="宋体" w:cs="宋体"/>
          <w:b/>
          <w:bCs/>
          <w:i w:val="0"/>
          <w:iCs w:val="0"/>
          <w:color w:val="auto"/>
          <w:sz w:val="30"/>
          <w:szCs w:val="30"/>
          <w:highlight w:val="none"/>
        </w:rPr>
      </w:pPr>
      <w:bookmarkStart w:id="52" w:name="_Toc18435"/>
      <w:bookmarkStart w:id="53" w:name="_Toc32061"/>
      <w:bookmarkStart w:id="54" w:name="_Toc10418"/>
      <w:bookmarkStart w:id="55" w:name="_Toc12737"/>
      <w:r>
        <w:rPr>
          <w:rFonts w:hint="eastAsia" w:ascii="宋体" w:hAnsi="宋体" w:eastAsia="宋体" w:cs="宋体"/>
          <w:b/>
          <w:bCs/>
          <w:i w:val="0"/>
          <w:iCs w:val="0"/>
          <w:color w:val="auto"/>
          <w:sz w:val="30"/>
          <w:szCs w:val="30"/>
          <w:highlight w:val="none"/>
        </w:rPr>
        <w:t>法定代表人或其委托代理</w:t>
      </w:r>
      <w:r>
        <w:rPr>
          <w:rFonts w:hint="eastAsia" w:ascii="宋体" w:hAnsi="宋体" w:eastAsia="宋体" w:cs="宋体"/>
          <w:b/>
          <w:bCs/>
          <w:i w:val="0"/>
          <w:iCs w:val="0"/>
          <w:color w:val="auto"/>
          <w:sz w:val="30"/>
          <w:szCs w:val="30"/>
          <w:highlight w:val="none"/>
          <w:u w:val="single"/>
        </w:rPr>
        <w:t xml:space="preserve">        </w:t>
      </w:r>
      <w:r>
        <w:rPr>
          <w:rFonts w:hint="eastAsia" w:ascii="宋体" w:hAnsi="宋体" w:eastAsia="宋体" w:cs="宋体"/>
          <w:b/>
          <w:bCs/>
          <w:i w:val="0"/>
          <w:iCs w:val="0"/>
          <w:color w:val="auto"/>
          <w:sz w:val="30"/>
          <w:szCs w:val="30"/>
          <w:highlight w:val="none"/>
        </w:rPr>
        <w:t>（签字或盖章）</w:t>
      </w:r>
      <w:bookmarkEnd w:id="52"/>
      <w:bookmarkEnd w:id="53"/>
      <w:bookmarkEnd w:id="54"/>
      <w:bookmarkEnd w:id="55"/>
    </w:p>
    <w:p w14:paraId="4494BD2B">
      <w:pPr>
        <w:pStyle w:val="10"/>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0"/>
        <w:rPr>
          <w:rFonts w:hint="eastAsia" w:ascii="宋体" w:hAnsi="宋体" w:eastAsia="宋体" w:cs="宋体"/>
          <w:b/>
          <w:bCs/>
          <w:i w:val="0"/>
          <w:iCs w:val="0"/>
          <w:color w:val="auto"/>
          <w:sz w:val="30"/>
          <w:szCs w:val="30"/>
          <w:highlight w:val="none"/>
        </w:rPr>
      </w:pPr>
      <w:bookmarkStart w:id="56" w:name="_Toc15367"/>
      <w:bookmarkStart w:id="57" w:name="_Toc6839"/>
      <w:bookmarkStart w:id="58" w:name="_Toc7829"/>
      <w:bookmarkStart w:id="59" w:name="_Toc5121"/>
      <w:r>
        <w:rPr>
          <w:rFonts w:hint="eastAsia" w:ascii="宋体" w:hAnsi="宋体" w:eastAsia="宋体" w:cs="宋体"/>
          <w:b/>
          <w:bCs/>
          <w:i w:val="0"/>
          <w:iCs w:val="0"/>
          <w:color w:val="auto"/>
          <w:sz w:val="30"/>
          <w:szCs w:val="30"/>
          <w:highlight w:val="none"/>
          <w:u w:val="single"/>
          <w:lang w:val="en-US" w:eastAsia="zh-CN"/>
        </w:rPr>
        <w:t xml:space="preserve">       </w:t>
      </w:r>
      <w:r>
        <w:rPr>
          <w:rFonts w:hint="eastAsia" w:ascii="宋体" w:hAnsi="宋体" w:eastAsia="宋体" w:cs="宋体"/>
          <w:b/>
          <w:bCs/>
          <w:i w:val="0"/>
          <w:iCs w:val="0"/>
          <w:color w:val="auto"/>
          <w:sz w:val="30"/>
          <w:szCs w:val="30"/>
          <w:highlight w:val="none"/>
        </w:rPr>
        <w:t>年</w:t>
      </w:r>
      <w:r>
        <w:rPr>
          <w:rFonts w:hint="eastAsia" w:ascii="宋体" w:hAnsi="宋体" w:eastAsia="宋体" w:cs="宋体"/>
          <w:b/>
          <w:bCs/>
          <w:i w:val="0"/>
          <w:iCs w:val="0"/>
          <w:color w:val="auto"/>
          <w:sz w:val="30"/>
          <w:szCs w:val="30"/>
          <w:highlight w:val="none"/>
          <w:u w:val="single"/>
        </w:rPr>
        <w:t xml:space="preserve"> </w:t>
      </w:r>
      <w:r>
        <w:rPr>
          <w:rFonts w:hint="eastAsia" w:ascii="宋体" w:hAnsi="宋体" w:eastAsia="宋体" w:cs="宋体"/>
          <w:b/>
          <w:bCs/>
          <w:i w:val="0"/>
          <w:iCs w:val="0"/>
          <w:color w:val="auto"/>
          <w:sz w:val="30"/>
          <w:szCs w:val="30"/>
          <w:highlight w:val="none"/>
          <w:u w:val="single"/>
          <w:lang w:val="en-US" w:eastAsia="zh-CN"/>
        </w:rPr>
        <w:t xml:space="preserve">  </w:t>
      </w:r>
      <w:r>
        <w:rPr>
          <w:rFonts w:hint="eastAsia" w:ascii="宋体" w:hAnsi="宋体" w:eastAsia="宋体" w:cs="宋体"/>
          <w:b/>
          <w:bCs/>
          <w:i w:val="0"/>
          <w:iCs w:val="0"/>
          <w:color w:val="auto"/>
          <w:sz w:val="30"/>
          <w:szCs w:val="30"/>
          <w:highlight w:val="none"/>
          <w:u w:val="single"/>
        </w:rPr>
        <w:t xml:space="preserve">  </w:t>
      </w:r>
      <w:r>
        <w:rPr>
          <w:rFonts w:hint="eastAsia" w:ascii="宋体" w:hAnsi="宋体" w:eastAsia="宋体" w:cs="宋体"/>
          <w:b/>
          <w:bCs/>
          <w:i w:val="0"/>
          <w:iCs w:val="0"/>
          <w:color w:val="auto"/>
          <w:sz w:val="30"/>
          <w:szCs w:val="30"/>
          <w:highlight w:val="none"/>
        </w:rPr>
        <w:t>月</w:t>
      </w:r>
      <w:r>
        <w:rPr>
          <w:rFonts w:hint="eastAsia" w:ascii="宋体" w:hAnsi="宋体" w:eastAsia="宋体" w:cs="宋体"/>
          <w:b/>
          <w:bCs/>
          <w:i w:val="0"/>
          <w:iCs w:val="0"/>
          <w:color w:val="auto"/>
          <w:sz w:val="30"/>
          <w:szCs w:val="30"/>
          <w:highlight w:val="none"/>
          <w:u w:val="single"/>
        </w:rPr>
        <w:t xml:space="preserve">  </w:t>
      </w:r>
      <w:r>
        <w:rPr>
          <w:rFonts w:hint="eastAsia" w:ascii="宋体" w:hAnsi="宋体" w:eastAsia="宋体" w:cs="宋体"/>
          <w:b/>
          <w:bCs/>
          <w:i w:val="0"/>
          <w:iCs w:val="0"/>
          <w:color w:val="auto"/>
          <w:sz w:val="30"/>
          <w:szCs w:val="30"/>
          <w:highlight w:val="none"/>
          <w:u w:val="single"/>
          <w:lang w:val="en-US" w:eastAsia="zh-CN"/>
        </w:rPr>
        <w:t xml:space="preserve"> </w:t>
      </w:r>
      <w:r>
        <w:rPr>
          <w:rFonts w:hint="eastAsia" w:ascii="宋体" w:hAnsi="宋体" w:eastAsia="宋体" w:cs="宋体"/>
          <w:b/>
          <w:bCs/>
          <w:i w:val="0"/>
          <w:iCs w:val="0"/>
          <w:color w:val="auto"/>
          <w:sz w:val="30"/>
          <w:szCs w:val="30"/>
          <w:highlight w:val="none"/>
          <w:u w:val="single"/>
        </w:rPr>
        <w:t xml:space="preserve">   </w:t>
      </w:r>
      <w:r>
        <w:rPr>
          <w:rFonts w:hint="eastAsia" w:ascii="宋体" w:hAnsi="宋体" w:eastAsia="宋体" w:cs="宋体"/>
          <w:b/>
          <w:bCs/>
          <w:i w:val="0"/>
          <w:iCs w:val="0"/>
          <w:color w:val="auto"/>
          <w:sz w:val="30"/>
          <w:szCs w:val="30"/>
          <w:highlight w:val="none"/>
        </w:rPr>
        <w:t>日</w:t>
      </w:r>
      <w:bookmarkEnd w:id="56"/>
      <w:bookmarkEnd w:id="57"/>
      <w:bookmarkEnd w:id="58"/>
      <w:bookmarkEnd w:id="59"/>
    </w:p>
    <w:p w14:paraId="2A76FBA0">
      <w:pPr>
        <w:rPr>
          <w:rFonts w:hint="eastAsia" w:ascii="宋体" w:hAnsi="宋体" w:eastAsia="宋体" w:cs="宋体"/>
          <w:b/>
          <w:i w:val="0"/>
          <w:iCs w:val="0"/>
          <w:color w:val="auto"/>
          <w:sz w:val="36"/>
          <w:szCs w:val="36"/>
          <w:highlight w:val="none"/>
        </w:rPr>
      </w:pPr>
      <w:bookmarkStart w:id="60" w:name="_Toc6905"/>
      <w:bookmarkStart w:id="61" w:name="_Toc3064"/>
      <w:bookmarkStart w:id="62" w:name="_Toc8709"/>
      <w:r>
        <w:rPr>
          <w:rFonts w:hint="eastAsia" w:ascii="宋体" w:hAnsi="宋体" w:eastAsia="宋体" w:cs="宋体"/>
          <w:b/>
          <w:i w:val="0"/>
          <w:iCs w:val="0"/>
          <w:color w:val="auto"/>
          <w:sz w:val="36"/>
          <w:szCs w:val="36"/>
          <w:highlight w:val="none"/>
        </w:rPr>
        <w:br w:type="page"/>
      </w:r>
    </w:p>
    <w:p w14:paraId="01CA38AE">
      <w:pPr>
        <w:pStyle w:val="10"/>
        <w:keepNext w:val="0"/>
        <w:keepLines w:val="0"/>
        <w:pageBreakBefore w:val="0"/>
        <w:widowControl w:val="0"/>
        <w:kinsoku/>
        <w:wordWrap w:val="0"/>
        <w:overflowPunct/>
        <w:topLinePunct/>
        <w:autoSpaceDE/>
        <w:autoSpaceDN/>
        <w:bidi w:val="0"/>
        <w:adjustRightInd w:val="0"/>
        <w:snapToGrid w:val="0"/>
        <w:spacing w:before="0" w:beforeAutospacing="0" w:after="0" w:afterAutospacing="0" w:line="360" w:lineRule="auto"/>
        <w:ind w:left="0" w:leftChars="0" w:right="0" w:rightChars="0"/>
        <w:jc w:val="center"/>
        <w:outlineLvl w:val="0"/>
        <w:rPr>
          <w:rFonts w:hint="eastAsia" w:ascii="宋体" w:hAnsi="宋体" w:eastAsia="宋体" w:cs="宋体"/>
          <w:b/>
          <w:i w:val="0"/>
          <w:iCs w:val="0"/>
          <w:color w:val="auto"/>
          <w:sz w:val="36"/>
          <w:szCs w:val="36"/>
          <w:highlight w:val="none"/>
        </w:rPr>
      </w:pPr>
      <w:r>
        <w:rPr>
          <w:rFonts w:hint="eastAsia" w:ascii="宋体" w:hAnsi="宋体" w:eastAsia="宋体" w:cs="宋体"/>
          <w:b/>
          <w:i w:val="0"/>
          <w:iCs w:val="0"/>
          <w:color w:val="auto"/>
          <w:sz w:val="36"/>
          <w:szCs w:val="36"/>
          <w:highlight w:val="none"/>
        </w:rPr>
        <w:t>目    录</w:t>
      </w:r>
      <w:bookmarkEnd w:id="60"/>
      <w:bookmarkEnd w:id="61"/>
      <w:bookmarkEnd w:id="62"/>
    </w:p>
    <w:p w14:paraId="7A3799CF">
      <w:pPr>
        <w:pStyle w:val="10"/>
        <w:keepNext w:val="0"/>
        <w:keepLines w:val="0"/>
        <w:pageBreakBefore w:val="0"/>
        <w:widowControl w:val="0"/>
        <w:kinsoku/>
        <w:wordWrap w:val="0"/>
        <w:overflowPunct/>
        <w:topLinePunct/>
        <w:autoSpaceDE/>
        <w:autoSpaceDN/>
        <w:bidi w:val="0"/>
        <w:adjustRightInd w:val="0"/>
        <w:snapToGrid w:val="0"/>
        <w:spacing w:before="0" w:beforeAutospacing="0" w:after="0" w:afterAutospacing="0" w:line="480" w:lineRule="auto"/>
        <w:ind w:left="0" w:leftChars="0" w:right="0" w:rightChars="0"/>
        <w:jc w:val="both"/>
        <w:textAlignment w:val="auto"/>
        <w:outlineLvl w:val="0"/>
        <w:rPr>
          <w:rFonts w:hint="eastAsia" w:ascii="宋体" w:hAnsi="宋体" w:eastAsia="宋体" w:cs="宋体"/>
          <w:b/>
          <w:i w:val="0"/>
          <w:iCs w:val="0"/>
          <w:color w:val="auto"/>
          <w:sz w:val="24"/>
          <w:szCs w:val="24"/>
          <w:highlight w:val="none"/>
        </w:rPr>
      </w:pPr>
    </w:p>
    <w:p w14:paraId="2E914B0C">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0" w:beforeAutospacing="0" w:after="0" w:afterAutospacing="0" w:line="480" w:lineRule="auto"/>
        <w:ind w:left="0" w:right="0" w:rightChars="0"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一、</w:t>
      </w:r>
      <w:r>
        <w:rPr>
          <w:rFonts w:hint="eastAsia" w:ascii="宋体" w:hAnsi="宋体" w:eastAsia="宋体" w:cs="宋体"/>
          <w:i w:val="0"/>
          <w:iCs w:val="0"/>
          <w:color w:val="auto"/>
          <w:sz w:val="24"/>
          <w:szCs w:val="24"/>
          <w:highlight w:val="none"/>
        </w:rPr>
        <w:t>磋商响应函</w:t>
      </w:r>
    </w:p>
    <w:p w14:paraId="2A4A8EEC">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0" w:beforeAutospacing="0" w:after="0" w:afterAutospacing="0" w:line="480" w:lineRule="auto"/>
        <w:ind w:left="0" w:right="0" w:rightChars="0"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二、法定代表人身份证明及</w:t>
      </w:r>
      <w:r>
        <w:rPr>
          <w:rFonts w:hint="eastAsia" w:ascii="宋体" w:hAnsi="宋体" w:eastAsia="宋体" w:cs="宋体"/>
          <w:i w:val="0"/>
          <w:iCs w:val="0"/>
          <w:color w:val="auto"/>
          <w:sz w:val="24"/>
          <w:szCs w:val="24"/>
          <w:highlight w:val="none"/>
        </w:rPr>
        <w:t>法定代表人授权委托书</w:t>
      </w:r>
    </w:p>
    <w:p w14:paraId="3014E2E3">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0" w:beforeAutospacing="0" w:after="0" w:afterAutospacing="0" w:line="480" w:lineRule="auto"/>
        <w:ind w:left="0" w:right="0" w:rightChars="0" w:firstLine="480" w:firstLineChars="200"/>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三、初次报价表</w:t>
      </w:r>
    </w:p>
    <w:p w14:paraId="740EF49A">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0" w:beforeAutospacing="0" w:after="0" w:afterAutospacing="0" w:line="480" w:lineRule="auto"/>
        <w:ind w:left="0" w:right="0" w:rightChars="0" w:firstLine="480" w:firstLineChars="200"/>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四、技术标施工组织设计</w:t>
      </w:r>
    </w:p>
    <w:p w14:paraId="2006580F">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0" w:beforeAutospacing="0" w:after="0" w:afterAutospacing="0" w:line="480" w:lineRule="auto"/>
        <w:ind w:left="0" w:right="0" w:rightChars="0" w:firstLine="480" w:firstLineChars="200"/>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五、项目管理机构</w:t>
      </w:r>
    </w:p>
    <w:p w14:paraId="57C50D14">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0" w:beforeAutospacing="0" w:after="0" w:afterAutospacing="0" w:line="480" w:lineRule="auto"/>
        <w:ind w:left="0" w:right="0" w:rightChars="0" w:firstLine="480" w:firstLineChars="200"/>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六、供应商资信资料</w:t>
      </w:r>
    </w:p>
    <w:p w14:paraId="3B936238">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0" w:beforeAutospacing="0" w:after="0" w:afterAutospacing="0" w:line="480" w:lineRule="auto"/>
        <w:ind w:left="0" w:right="0" w:rightChars="0" w:firstLine="480" w:firstLineChars="200"/>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七、</w:t>
      </w:r>
      <w:r>
        <w:rPr>
          <w:rFonts w:hint="eastAsia" w:ascii="宋体" w:hAnsi="宋体" w:eastAsia="宋体" w:cs="宋体"/>
          <w:i w:val="0"/>
          <w:iCs w:val="0"/>
          <w:color w:val="auto"/>
          <w:sz w:val="24"/>
          <w:szCs w:val="24"/>
          <w:highlight w:val="none"/>
          <w:lang w:val="en-US" w:eastAsia="zh-CN"/>
        </w:rPr>
        <w:t>资格审查资料</w:t>
      </w:r>
    </w:p>
    <w:p w14:paraId="7308AA1A">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0" w:beforeAutospacing="0" w:after="0" w:afterAutospacing="0" w:line="480" w:lineRule="auto"/>
        <w:ind w:left="0" w:right="0" w:rightChars="0" w:firstLine="480" w:firstLineChars="200"/>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八、建设工程扬尘治理工作承诺书</w:t>
      </w:r>
    </w:p>
    <w:p w14:paraId="6160B2BB">
      <w:pPr>
        <w:pStyle w:val="10"/>
        <w:keepNext w:val="0"/>
        <w:keepLines w:val="0"/>
        <w:pageBreakBefore w:val="0"/>
        <w:widowControl w:val="0"/>
        <w:kinsoku/>
        <w:wordWrap w:val="0"/>
        <w:overflowPunct/>
        <w:topLinePunct w:val="0"/>
        <w:autoSpaceDE/>
        <w:autoSpaceDN/>
        <w:bidi w:val="0"/>
        <w:adjustRightInd w:val="0"/>
        <w:snapToGrid w:val="0"/>
        <w:spacing w:before="0" w:beforeLines="0" w:beforeAutospacing="0" w:after="0" w:afterLines="0" w:afterAutospacing="0" w:line="48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rPr>
        <w:t>、</w:t>
      </w:r>
      <w:r>
        <w:rPr>
          <w:rFonts w:hint="eastAsia" w:ascii="宋体" w:hAnsi="宋体" w:eastAsia="宋体" w:cs="宋体"/>
          <w:i w:val="0"/>
          <w:iCs w:val="0"/>
          <w:color w:val="auto"/>
          <w:sz w:val="24"/>
          <w:szCs w:val="24"/>
          <w:highlight w:val="none"/>
          <w:lang w:eastAsia="zh-CN"/>
        </w:rPr>
        <w:t>其他资料</w:t>
      </w:r>
    </w:p>
    <w:p w14:paraId="7C92BB4B">
      <w:pPr>
        <w:pStyle w:val="10"/>
        <w:keepNext w:val="0"/>
        <w:keepLines w:val="0"/>
        <w:pageBreakBefore w:val="0"/>
        <w:widowControl w:val="0"/>
        <w:kinsoku/>
        <w:wordWrap w:val="0"/>
        <w:overflowPunct/>
        <w:topLinePunct w:val="0"/>
        <w:autoSpaceDE/>
        <w:autoSpaceDN/>
        <w:bidi w:val="0"/>
        <w:adjustRightInd w:val="0"/>
        <w:snapToGrid w:val="0"/>
        <w:spacing w:before="0" w:beforeLines="0" w:beforeAutospacing="0" w:after="0" w:afterLines="0" w:afterAutospacing="0" w:line="480" w:lineRule="auto"/>
        <w:ind w:right="0" w:rightChars="0" w:firstLine="480" w:firstLineChars="200"/>
        <w:textAlignment w:val="auto"/>
        <w:rPr>
          <w:rFonts w:hint="eastAsia" w:ascii="宋体" w:hAnsi="宋体" w:eastAsia="宋体" w:cs="宋体"/>
          <w:color w:val="auto"/>
          <w:sz w:val="24"/>
          <w:szCs w:val="24"/>
          <w:highlight w:val="none"/>
          <w:lang w:eastAsia="zh-CN"/>
        </w:rPr>
      </w:pPr>
    </w:p>
    <w:p w14:paraId="1429D72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kern w:val="0"/>
          <w:szCs w:val="21"/>
          <w:highlight w:val="none"/>
        </w:rPr>
      </w:pPr>
    </w:p>
    <w:p w14:paraId="67E19CD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kern w:val="0"/>
          <w:szCs w:val="21"/>
          <w:highlight w:val="none"/>
        </w:rPr>
      </w:pPr>
    </w:p>
    <w:p w14:paraId="4CD1B78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kern w:val="0"/>
          <w:szCs w:val="21"/>
          <w:highlight w:val="none"/>
        </w:rPr>
      </w:pPr>
    </w:p>
    <w:p w14:paraId="3E9DE34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kern w:val="0"/>
          <w:szCs w:val="21"/>
          <w:highlight w:val="none"/>
        </w:rPr>
      </w:pPr>
    </w:p>
    <w:p w14:paraId="64EA920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kern w:val="0"/>
          <w:szCs w:val="21"/>
          <w:highlight w:val="none"/>
        </w:rPr>
      </w:pPr>
    </w:p>
    <w:p w14:paraId="29229F5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kern w:val="0"/>
          <w:szCs w:val="21"/>
          <w:highlight w:val="none"/>
        </w:rPr>
      </w:pPr>
    </w:p>
    <w:p w14:paraId="6C7973D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kern w:val="0"/>
          <w:szCs w:val="21"/>
          <w:highlight w:val="none"/>
        </w:rPr>
      </w:pPr>
    </w:p>
    <w:p w14:paraId="245E374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kern w:val="0"/>
          <w:szCs w:val="21"/>
          <w:highlight w:val="none"/>
        </w:rPr>
      </w:pPr>
    </w:p>
    <w:p w14:paraId="3D29C05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kern w:val="0"/>
          <w:szCs w:val="21"/>
          <w:highlight w:val="none"/>
        </w:rPr>
      </w:pPr>
    </w:p>
    <w:p w14:paraId="3DA557D4">
      <w:pPr>
        <w:pStyle w:val="2"/>
        <w:rPr>
          <w:rFonts w:hint="eastAsia" w:ascii="宋体" w:hAnsi="宋体" w:eastAsia="宋体" w:cs="宋体"/>
          <w:b/>
          <w:color w:val="auto"/>
          <w:kern w:val="0"/>
          <w:szCs w:val="21"/>
          <w:highlight w:val="none"/>
        </w:rPr>
      </w:pPr>
    </w:p>
    <w:p w14:paraId="65D5FA32">
      <w:pPr>
        <w:rPr>
          <w:rFonts w:hint="eastAsia" w:ascii="宋体" w:hAnsi="宋体" w:eastAsia="宋体" w:cs="宋体"/>
          <w:color w:val="auto"/>
          <w:highlight w:val="none"/>
        </w:rPr>
      </w:pPr>
    </w:p>
    <w:p w14:paraId="701C0D5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kern w:val="0"/>
          <w:szCs w:val="21"/>
          <w:highlight w:val="none"/>
        </w:rPr>
      </w:pPr>
    </w:p>
    <w:p w14:paraId="23C7846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kern w:val="0"/>
          <w:szCs w:val="21"/>
          <w:highlight w:val="none"/>
        </w:rPr>
      </w:pPr>
    </w:p>
    <w:p w14:paraId="57448AF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kern w:val="0"/>
          <w:szCs w:val="21"/>
          <w:highlight w:val="none"/>
        </w:rPr>
      </w:pPr>
    </w:p>
    <w:p w14:paraId="70EF176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color w:val="auto"/>
          <w:kern w:val="0"/>
          <w:szCs w:val="21"/>
          <w:highlight w:val="none"/>
        </w:rPr>
      </w:pPr>
    </w:p>
    <w:p w14:paraId="11FC4E80">
      <w:pPr>
        <w:pStyle w:val="2"/>
        <w:rPr>
          <w:rFonts w:hint="eastAsia" w:ascii="宋体" w:hAnsi="宋体" w:eastAsia="宋体" w:cs="宋体"/>
          <w:color w:val="auto"/>
          <w:highlight w:val="none"/>
        </w:rPr>
      </w:pPr>
    </w:p>
    <w:p w14:paraId="49B789AF">
      <w:pPr>
        <w:pStyle w:val="4"/>
        <w:keepNext w:val="0"/>
        <w:keepLines w:val="0"/>
        <w:pageBreakBefore w:val="0"/>
        <w:widowControl w:val="0"/>
        <w:kinsoku/>
        <w:wordWrap w:val="0"/>
        <w:overflowPunct/>
        <w:topLinePunct w:val="0"/>
        <w:autoSpaceDE/>
        <w:autoSpaceDN/>
        <w:bidi w:val="0"/>
        <w:adjustRightInd w:val="0"/>
        <w:snapToGrid w:val="0"/>
        <w:spacing w:before="0" w:after="0" w:line="360" w:lineRule="auto"/>
        <w:ind w:left="0" w:leftChars="0" w:right="0" w:firstLine="0" w:firstLineChars="0"/>
        <w:jc w:val="center"/>
        <w:outlineLvl w:val="0"/>
        <w:rPr>
          <w:rFonts w:hint="eastAsia" w:ascii="宋体" w:hAnsi="宋体" w:eastAsia="宋体" w:cs="宋体"/>
          <w:color w:val="auto"/>
          <w:sz w:val="32"/>
          <w:szCs w:val="32"/>
          <w:highlight w:val="none"/>
        </w:rPr>
      </w:pPr>
      <w:bookmarkStart w:id="63" w:name="_Toc300901199"/>
      <w:bookmarkStart w:id="64" w:name="_Toc374107073"/>
      <w:bookmarkStart w:id="65" w:name="_Toc323642004"/>
      <w:bookmarkStart w:id="66" w:name="_Toc1413"/>
      <w:r>
        <w:rPr>
          <w:rFonts w:hint="eastAsia" w:ascii="宋体" w:hAnsi="宋体" w:eastAsia="宋体" w:cs="宋体"/>
          <w:color w:val="auto"/>
          <w:sz w:val="32"/>
          <w:szCs w:val="32"/>
          <w:highlight w:val="none"/>
        </w:rPr>
        <w:t>一、磋商响应函</w:t>
      </w:r>
    </w:p>
    <w:p w14:paraId="33FDDD1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b/>
          <w:bCs/>
          <w:color w:val="auto"/>
          <w:sz w:val="21"/>
          <w:szCs w:val="21"/>
          <w:highlight w:val="none"/>
        </w:rPr>
      </w:pPr>
    </w:p>
    <w:p w14:paraId="252C48B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经研究，我方决定参加项目编号为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的政府采购活动并提交磋商响应文件。为此，我方郑重声明如下:</w:t>
      </w:r>
    </w:p>
    <w:p w14:paraId="217B4C3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1、我方提交的磋商响应文件，正本一份，副本</w:t>
      </w:r>
      <w:r>
        <w:rPr>
          <w:rFonts w:hint="eastAsia" w:ascii="宋体" w:hAnsi="宋体" w:eastAsia="宋体" w:cs="宋体"/>
          <w:color w:val="auto"/>
          <w:kern w:val="0"/>
          <w:sz w:val="21"/>
          <w:szCs w:val="21"/>
          <w:highlight w:val="none"/>
          <w:lang w:eastAsia="zh-CN"/>
        </w:rPr>
        <w:t>四</w:t>
      </w:r>
      <w:r>
        <w:rPr>
          <w:rFonts w:hint="eastAsia" w:ascii="宋体" w:hAnsi="宋体" w:eastAsia="宋体" w:cs="宋体"/>
          <w:color w:val="auto"/>
          <w:kern w:val="0"/>
          <w:sz w:val="21"/>
          <w:szCs w:val="21"/>
          <w:highlight w:val="none"/>
        </w:rPr>
        <w:t>份。</w:t>
      </w:r>
    </w:p>
    <w:p w14:paraId="5DFC5BE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2、如果我方的磋商响应文件被接受，我方将履行磋商文件中规定的每一项要求，并按我方磋商响应文件中的承诺按期、保质、保量完成项目的实施。</w:t>
      </w:r>
    </w:p>
    <w:p w14:paraId="1FAB33C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3、我方理解，最低报价不是入选成交候选人的唯一条件。</w:t>
      </w:r>
    </w:p>
    <w:p w14:paraId="521441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4、我方愿按《中华人民共和国合同法》履行自己的全部责任。</w:t>
      </w:r>
    </w:p>
    <w:p w14:paraId="0D703D3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5、我方已详细检查所有磋商文件、附件以及所提供的参考文件，因模糊和误解产生的一切后果，由我方自负。</w:t>
      </w:r>
    </w:p>
    <w:p w14:paraId="4378C0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6、我方的磋商响应文件自递交截止之日起60个</w:t>
      </w:r>
      <w:r>
        <w:rPr>
          <w:rFonts w:hint="eastAsia" w:ascii="宋体" w:hAnsi="宋体" w:eastAsia="宋体" w:cs="宋体"/>
          <w:color w:val="auto"/>
          <w:kern w:val="0"/>
          <w:sz w:val="21"/>
          <w:szCs w:val="21"/>
          <w:highlight w:val="none"/>
          <w:lang w:eastAsia="zh-CN"/>
        </w:rPr>
        <w:t>日历天</w:t>
      </w:r>
      <w:r>
        <w:rPr>
          <w:rFonts w:hint="eastAsia" w:ascii="宋体" w:hAnsi="宋体" w:eastAsia="宋体" w:cs="宋体"/>
          <w:color w:val="auto"/>
          <w:kern w:val="0"/>
          <w:sz w:val="21"/>
          <w:szCs w:val="21"/>
          <w:highlight w:val="none"/>
        </w:rPr>
        <w:t>内有效。</w:t>
      </w:r>
    </w:p>
    <w:p w14:paraId="70D99D7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7、我方同意按文件要求，提交与递交磋商响应文件有关的数据和资料。</w:t>
      </w:r>
    </w:p>
    <w:p w14:paraId="4C79571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318EF0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供应商（盖章）：</w:t>
      </w:r>
    </w:p>
    <w:p w14:paraId="63E285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法人代表或委托代理人（签字或盖章）：</w:t>
      </w:r>
    </w:p>
    <w:p w14:paraId="4A4969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br w:type="page"/>
      </w:r>
    </w:p>
    <w:p w14:paraId="7360C305">
      <w:pPr>
        <w:pStyle w:val="4"/>
        <w:keepNext w:val="0"/>
        <w:keepLines w:val="0"/>
        <w:pageBreakBefore w:val="0"/>
        <w:widowControl w:val="0"/>
        <w:kinsoku/>
        <w:wordWrap w:val="0"/>
        <w:overflowPunct/>
        <w:topLinePunct w:val="0"/>
        <w:autoSpaceDE/>
        <w:autoSpaceDN/>
        <w:bidi w:val="0"/>
        <w:adjustRightInd w:val="0"/>
        <w:snapToGrid w:val="0"/>
        <w:spacing w:before="0" w:after="0" w:line="360" w:lineRule="auto"/>
        <w:ind w:left="0" w:leftChars="0" w:right="0" w:firstLine="0" w:firstLineChars="0"/>
        <w:jc w:val="center"/>
        <w:outlineLvl w:val="0"/>
        <w:rPr>
          <w:rFonts w:hint="eastAsia" w:ascii="宋体" w:hAnsi="宋体" w:eastAsia="宋体" w:cs="宋体"/>
          <w:b w:val="0"/>
          <w:bCs w:val="0"/>
          <w:color w:val="auto"/>
          <w:sz w:val="21"/>
          <w:szCs w:val="21"/>
          <w:highlight w:val="none"/>
          <w:lang w:val="en-US" w:eastAsia="zh-CN"/>
        </w:rPr>
      </w:pPr>
      <w:bookmarkStart w:id="67" w:name="_Toc374107067"/>
      <w:bookmarkStart w:id="68" w:name="_Toc323641999"/>
      <w:bookmarkStart w:id="69" w:name="_Toc300901193"/>
      <w:bookmarkStart w:id="70" w:name="_Toc4405"/>
      <w:r>
        <w:rPr>
          <w:rFonts w:hint="eastAsia" w:ascii="宋体" w:hAnsi="宋体" w:eastAsia="宋体" w:cs="宋体"/>
          <w:color w:val="auto"/>
          <w:sz w:val="32"/>
          <w:szCs w:val="32"/>
          <w:highlight w:val="none"/>
        </w:rPr>
        <w:t>二、</w:t>
      </w:r>
      <w:bookmarkEnd w:id="67"/>
      <w:bookmarkEnd w:id="68"/>
      <w:bookmarkEnd w:id="69"/>
      <w:bookmarkEnd w:id="70"/>
      <w:r>
        <w:rPr>
          <w:rFonts w:hint="eastAsia" w:ascii="宋体" w:hAnsi="宋体" w:eastAsia="宋体" w:cs="宋体"/>
          <w:color w:val="auto"/>
          <w:sz w:val="32"/>
          <w:szCs w:val="32"/>
          <w:highlight w:val="none"/>
        </w:rPr>
        <w:t>法定代表人身份证明及法定代表人授权委托书</w:t>
      </w:r>
    </w:p>
    <w:p w14:paraId="11636072">
      <w:pPr>
        <w:pStyle w:val="4"/>
        <w:keepNext w:val="0"/>
        <w:keepLines w:val="0"/>
        <w:pageBreakBefore w:val="0"/>
        <w:widowControl w:val="0"/>
        <w:kinsoku/>
        <w:wordWrap w:val="0"/>
        <w:overflowPunct/>
        <w:topLinePunct w:val="0"/>
        <w:autoSpaceDE/>
        <w:autoSpaceDN/>
        <w:bidi w:val="0"/>
        <w:adjustRightInd w:val="0"/>
        <w:snapToGrid w:val="0"/>
        <w:spacing w:before="0" w:after="0" w:line="360" w:lineRule="auto"/>
        <w:ind w:left="0" w:leftChars="0" w:right="0" w:firstLine="0" w:firstLineChars="0"/>
        <w:jc w:val="center"/>
        <w:textAlignment w:val="auto"/>
        <w:outlineLvl w:val="0"/>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法定代表人身份证明</w:t>
      </w:r>
    </w:p>
    <w:p w14:paraId="0E98123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5DEE87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w:t>
      </w:r>
      <w:r>
        <w:rPr>
          <w:rFonts w:hint="eastAsia" w:ascii="宋体" w:hAnsi="宋体" w:eastAsia="宋体" w:cs="宋体"/>
          <w:color w:val="auto"/>
          <w:sz w:val="21"/>
          <w:szCs w:val="21"/>
          <w:highlight w:val="none"/>
          <w:u w:val="single"/>
        </w:rPr>
        <w:t xml:space="preserve">                                                        </w:t>
      </w:r>
    </w:p>
    <w:p w14:paraId="784857A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D677E0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9B7237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经营期限：</w:t>
      </w:r>
      <w:r>
        <w:rPr>
          <w:rFonts w:hint="eastAsia" w:ascii="宋体" w:hAnsi="宋体" w:eastAsia="宋体" w:cs="宋体"/>
          <w:color w:val="auto"/>
          <w:sz w:val="21"/>
          <w:szCs w:val="21"/>
          <w:highlight w:val="none"/>
          <w:u w:val="single"/>
        </w:rPr>
        <w:t xml:space="preserve">                                                        </w:t>
      </w:r>
    </w:p>
    <w:p w14:paraId="5FC5782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20F2348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65DCDBE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（供应商名称）的法定代表人。</w:t>
      </w:r>
    </w:p>
    <w:p w14:paraId="7D0BBE0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388D95B">
      <w:pPr>
        <w:keepNext w:val="0"/>
        <w:keepLines w:val="0"/>
        <w:pageBreakBefore w:val="0"/>
        <w:widowControl w:val="0"/>
        <w:kinsoku/>
        <w:wordWrap w:val="0"/>
        <w:overflowPunct/>
        <w:topLinePunct w:val="0"/>
        <w:autoSpaceDE/>
        <w:autoSpaceDN/>
        <w:bidi w:val="0"/>
        <w:adjustRightInd w:val="0"/>
        <w:snapToGrid w:val="0"/>
        <w:spacing w:line="480" w:lineRule="auto"/>
        <w:ind w:left="0" w:leftChars="0" w:right="0" w:firstLine="0" w:firstLineChars="0"/>
        <w:textAlignment w:val="auto"/>
        <w:rPr>
          <w:rFonts w:hint="eastAsia" w:ascii="宋体" w:hAnsi="宋体" w:eastAsia="宋体" w:cs="宋体"/>
          <w:color w:val="auto"/>
          <w:sz w:val="21"/>
          <w:szCs w:val="21"/>
          <w:highlight w:val="none"/>
        </w:rPr>
      </w:pPr>
    </w:p>
    <w:p w14:paraId="6F86BDF9">
      <w:pPr>
        <w:keepNext w:val="0"/>
        <w:keepLines w:val="0"/>
        <w:pageBreakBefore w:val="0"/>
        <w:widowControl w:val="0"/>
        <w:kinsoku/>
        <w:wordWrap w:val="0"/>
        <w:overflowPunct/>
        <w:topLinePunct w:val="0"/>
        <w:autoSpaceDE/>
        <w:autoSpaceDN/>
        <w:bidi w:val="0"/>
        <w:adjustRightInd w:val="0"/>
        <w:snapToGrid w:val="0"/>
        <w:spacing w:line="480" w:lineRule="auto"/>
        <w:ind w:left="0" w:leftChars="0" w:right="0" w:firstLine="0" w:firstLineChars="0"/>
        <w:textAlignment w:val="auto"/>
        <w:rPr>
          <w:rFonts w:hint="eastAsia" w:ascii="宋体" w:hAnsi="宋体" w:eastAsia="宋体" w:cs="宋体"/>
          <w:color w:val="auto"/>
          <w:sz w:val="21"/>
          <w:szCs w:val="21"/>
          <w:highlight w:val="none"/>
        </w:rPr>
      </w:pPr>
    </w:p>
    <w:p w14:paraId="0D6FD8FB">
      <w:pPr>
        <w:keepNext w:val="0"/>
        <w:keepLines w:val="0"/>
        <w:pageBreakBefore w:val="0"/>
        <w:widowControl w:val="0"/>
        <w:kinsoku/>
        <w:wordWrap w:val="0"/>
        <w:overflowPunct/>
        <w:topLinePunct w:val="0"/>
        <w:autoSpaceDE/>
        <w:autoSpaceDN/>
        <w:bidi w:val="0"/>
        <w:adjustRightInd w:val="0"/>
        <w:snapToGrid w:val="0"/>
        <w:spacing w:line="480" w:lineRule="auto"/>
        <w:ind w:left="0" w:leftChars="0" w:right="0" w:firstLine="0" w:firstLine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3FFE57D">
      <w:pPr>
        <w:keepNext w:val="0"/>
        <w:keepLines w:val="0"/>
        <w:pageBreakBefore w:val="0"/>
        <w:widowControl w:val="0"/>
        <w:kinsoku/>
        <w:wordWrap w:val="0"/>
        <w:overflowPunct/>
        <w:topLinePunct w:val="0"/>
        <w:autoSpaceDE/>
        <w:autoSpaceDN/>
        <w:bidi w:val="0"/>
        <w:adjustRightInd w:val="0"/>
        <w:snapToGrid w:val="0"/>
        <w:spacing w:line="480" w:lineRule="auto"/>
        <w:ind w:left="0" w:leftChars="0" w:right="0" w:firstLine="0" w:firstLine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p>
    <w:p w14:paraId="45489A5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jc w:val="center"/>
        <w:rPr>
          <w:rFonts w:hint="eastAsia" w:ascii="宋体" w:hAnsi="宋体" w:eastAsia="宋体" w:cs="宋体"/>
          <w:b/>
          <w:bCs/>
          <w:color w:val="auto"/>
          <w:sz w:val="24"/>
          <w:szCs w:val="24"/>
          <w:highlight w:val="none"/>
        </w:rPr>
      </w:pPr>
      <w:bookmarkStart w:id="71" w:name="_Toc16269"/>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二、</w:t>
      </w:r>
      <w:bookmarkEnd w:id="71"/>
      <w:r>
        <w:rPr>
          <w:rFonts w:hint="eastAsia" w:ascii="宋体" w:hAnsi="宋体" w:eastAsia="宋体" w:cs="宋体"/>
          <w:b/>
          <w:bCs/>
          <w:color w:val="auto"/>
          <w:sz w:val="24"/>
          <w:szCs w:val="24"/>
          <w:highlight w:val="none"/>
        </w:rPr>
        <w:t>法定代表人授权委托书</w:t>
      </w:r>
    </w:p>
    <w:p w14:paraId="2D72C581">
      <w:pPr>
        <w:keepNext w:val="0"/>
        <w:keepLines w:val="0"/>
        <w:pageBreakBefore w:val="0"/>
        <w:widowControl w:val="0"/>
        <w:tabs>
          <w:tab w:val="left" w:pos="0"/>
          <w:tab w:val="left" w:pos="720"/>
          <w:tab w:val="left" w:pos="1440"/>
          <w:tab w:val="left" w:pos="2160"/>
          <w:tab w:val="left" w:pos="2880"/>
          <w:tab w:val="left" w:pos="3600"/>
          <w:tab w:val="left" w:pos="4320"/>
        </w:tabs>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3E5B4AE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（供应商名称）的法定代表人，现委托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标段施工竞争性磋商响应文件、</w:t>
      </w:r>
      <w:r>
        <w:rPr>
          <w:rFonts w:hint="eastAsia" w:ascii="宋体" w:hAnsi="宋体" w:eastAsia="宋体" w:cs="宋体"/>
          <w:color w:val="auto"/>
          <w:kern w:val="0"/>
          <w:sz w:val="21"/>
          <w:szCs w:val="21"/>
          <w:highlight w:val="none"/>
        </w:rPr>
        <w:t>参加本项目竞争性磋商、全权处理磋商过程中所签署的一切文件和有关的一切事务、</w:t>
      </w:r>
      <w:r>
        <w:rPr>
          <w:rFonts w:hint="eastAsia" w:ascii="宋体" w:hAnsi="宋体" w:eastAsia="宋体" w:cs="宋体"/>
          <w:color w:val="auto"/>
          <w:sz w:val="21"/>
          <w:szCs w:val="21"/>
          <w:highlight w:val="none"/>
        </w:rPr>
        <w:t>签订合同和处理有关事宜，其法律后果由我方承担。</w:t>
      </w:r>
    </w:p>
    <w:p w14:paraId="57A3213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DEC93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3F4D675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法定代表人身份证明</w:t>
      </w:r>
    </w:p>
    <w:p w14:paraId="3FF16FD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jc w:val="right"/>
        <w:textAlignment w:val="auto"/>
        <w:rPr>
          <w:rFonts w:hint="eastAsia" w:ascii="宋体" w:hAnsi="宋体" w:eastAsia="宋体" w:cs="宋体"/>
          <w:color w:val="auto"/>
          <w:sz w:val="21"/>
          <w:szCs w:val="21"/>
          <w:highlight w:val="none"/>
        </w:rPr>
      </w:pPr>
    </w:p>
    <w:p w14:paraId="4DC4059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jc w:val="right"/>
        <w:textAlignment w:val="auto"/>
        <w:rPr>
          <w:rFonts w:hint="eastAsia" w:ascii="宋体" w:hAnsi="宋体" w:eastAsia="宋体" w:cs="宋体"/>
          <w:color w:val="auto"/>
          <w:sz w:val="21"/>
          <w:szCs w:val="21"/>
          <w:highlight w:val="none"/>
        </w:rPr>
      </w:pPr>
    </w:p>
    <w:p w14:paraId="6DC1E1F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jc w:val="right"/>
        <w:textAlignment w:val="auto"/>
        <w:rPr>
          <w:rFonts w:hint="eastAsia" w:ascii="宋体" w:hAnsi="宋体" w:eastAsia="宋体" w:cs="宋体"/>
          <w:color w:val="auto"/>
          <w:sz w:val="21"/>
          <w:szCs w:val="21"/>
          <w:highlight w:val="none"/>
        </w:rPr>
      </w:pPr>
    </w:p>
    <w:p w14:paraId="596D34F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jc w:val="right"/>
        <w:textAlignment w:val="auto"/>
        <w:rPr>
          <w:rFonts w:hint="eastAsia" w:ascii="宋体" w:hAnsi="宋体" w:eastAsia="宋体" w:cs="宋体"/>
          <w:color w:val="auto"/>
          <w:sz w:val="21"/>
          <w:szCs w:val="21"/>
          <w:highlight w:val="none"/>
        </w:rPr>
      </w:pPr>
    </w:p>
    <w:p w14:paraId="22ADE9A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jc w:val="right"/>
        <w:textAlignment w:val="auto"/>
        <w:rPr>
          <w:rFonts w:hint="eastAsia" w:ascii="宋体" w:hAnsi="宋体" w:eastAsia="宋体" w:cs="宋体"/>
          <w:color w:val="auto"/>
          <w:sz w:val="21"/>
          <w:szCs w:val="21"/>
          <w:highlight w:val="none"/>
        </w:rPr>
      </w:pPr>
    </w:p>
    <w:p w14:paraId="7CCD952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  应  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E57EAC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0177620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8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E69DD4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7D97FBA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9E0FEE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DEC326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7D160ECC">
      <w:pPr>
        <w:keepNext w:val="0"/>
        <w:keepLines w:val="0"/>
        <w:pageBreakBefore w:val="0"/>
        <w:widowControl w:val="0"/>
        <w:tabs>
          <w:tab w:val="left" w:pos="0"/>
          <w:tab w:val="left" w:pos="720"/>
          <w:tab w:val="left" w:pos="1440"/>
          <w:tab w:val="left" w:pos="2160"/>
          <w:tab w:val="left" w:pos="2880"/>
          <w:tab w:val="left" w:pos="3600"/>
          <w:tab w:val="left" w:pos="4320"/>
        </w:tabs>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38CBCC30">
      <w:pPr>
        <w:pStyle w:val="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right="0" w:rightChars="0"/>
        <w:jc w:val="center"/>
        <w:outlineLvl w:val="0"/>
        <w:rPr>
          <w:rFonts w:hint="eastAsia" w:ascii="宋体" w:hAnsi="宋体" w:eastAsia="宋体" w:cs="宋体"/>
          <w:i w:val="0"/>
          <w:iCs w:val="0"/>
          <w:color w:val="auto"/>
          <w:sz w:val="32"/>
          <w:szCs w:val="40"/>
          <w:highlight w:val="none"/>
        </w:rPr>
      </w:pPr>
      <w:bookmarkStart w:id="72" w:name="_Toc23578"/>
      <w:bookmarkStart w:id="73" w:name="_Toc21796"/>
      <w:bookmarkStart w:id="74" w:name="_Toc381880875"/>
      <w:r>
        <w:rPr>
          <w:rFonts w:hint="eastAsia" w:ascii="宋体" w:hAnsi="宋体" w:eastAsia="宋体" w:cs="宋体"/>
          <w:i w:val="0"/>
          <w:iCs w:val="0"/>
          <w:color w:val="auto"/>
          <w:sz w:val="32"/>
          <w:szCs w:val="40"/>
          <w:highlight w:val="none"/>
          <w:lang w:eastAsia="zh-CN"/>
        </w:rPr>
        <w:br w:type="page"/>
      </w:r>
      <w:r>
        <w:rPr>
          <w:rFonts w:hint="eastAsia" w:ascii="宋体" w:hAnsi="宋体" w:eastAsia="宋体" w:cs="宋体"/>
          <w:i w:val="0"/>
          <w:iCs w:val="0"/>
          <w:color w:val="auto"/>
          <w:sz w:val="32"/>
          <w:szCs w:val="40"/>
          <w:highlight w:val="none"/>
          <w:lang w:eastAsia="zh-CN"/>
        </w:rPr>
        <w:t>三</w:t>
      </w:r>
      <w:r>
        <w:rPr>
          <w:rFonts w:hint="eastAsia" w:ascii="宋体" w:hAnsi="宋体" w:eastAsia="宋体" w:cs="宋体"/>
          <w:i w:val="0"/>
          <w:iCs w:val="0"/>
          <w:color w:val="auto"/>
          <w:sz w:val="32"/>
          <w:szCs w:val="40"/>
          <w:highlight w:val="none"/>
        </w:rPr>
        <w:t>、初次报价</w:t>
      </w:r>
      <w:bookmarkEnd w:id="72"/>
      <w:bookmarkEnd w:id="73"/>
    </w:p>
    <w:p w14:paraId="1A56A2CA">
      <w:pPr>
        <w:pStyle w:val="6"/>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right="0" w:rightChars="0"/>
        <w:jc w:val="center"/>
        <w:outlineLvl w:val="1"/>
        <w:rPr>
          <w:rFonts w:hint="eastAsia" w:ascii="宋体" w:hAnsi="宋体" w:eastAsia="宋体" w:cs="宋体"/>
          <w:b/>
          <w:i w:val="0"/>
          <w:iCs w:val="0"/>
          <w:color w:val="auto"/>
          <w:szCs w:val="28"/>
          <w:highlight w:val="none"/>
        </w:rPr>
      </w:pPr>
      <w:bookmarkStart w:id="75" w:name="_Toc27654"/>
      <w:r>
        <w:rPr>
          <w:rFonts w:hint="eastAsia" w:ascii="宋体" w:hAnsi="宋体" w:eastAsia="宋体" w:cs="宋体"/>
          <w:b/>
          <w:i w:val="0"/>
          <w:iCs w:val="0"/>
          <w:color w:val="auto"/>
          <w:szCs w:val="28"/>
          <w:highlight w:val="none"/>
        </w:rPr>
        <w:t>（一）初次报价表</w:t>
      </w:r>
      <w:bookmarkEnd w:id="75"/>
    </w:p>
    <w:tbl>
      <w:tblPr>
        <w:tblStyle w:val="11"/>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4"/>
        <w:gridCol w:w="6685"/>
      </w:tblGrid>
      <w:tr w14:paraId="519B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2794" w:type="dxa"/>
            <w:noWrap w:val="0"/>
            <w:vAlign w:val="center"/>
          </w:tcPr>
          <w:p w14:paraId="11C6D554">
            <w:pPr>
              <w:keepNext w:val="0"/>
              <w:keepLines w:val="0"/>
              <w:pageBreakBefore w:val="0"/>
              <w:widowControl w:val="0"/>
              <w:kinsoku/>
              <w:wordWrap w:val="0"/>
              <w:overflowPunct/>
              <w:topLinePunct w:val="0"/>
              <w:autoSpaceDE/>
              <w:autoSpaceDN/>
              <w:bidi w:val="0"/>
              <w:adjustRightInd w:val="0"/>
              <w:snapToGrid w:val="0"/>
              <w:spacing w:beforeAutospacing="0" w:afterAutospacing="0" w:line="240" w:lineRule="auto"/>
              <w:ind w:left="0" w:leftChars="0" w:right="0" w:rightChars="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项目名称</w:t>
            </w:r>
          </w:p>
        </w:tc>
        <w:tc>
          <w:tcPr>
            <w:tcW w:w="6685" w:type="dxa"/>
            <w:noWrap w:val="0"/>
            <w:vAlign w:val="center"/>
          </w:tcPr>
          <w:p w14:paraId="26543EEE">
            <w:pPr>
              <w:keepNext w:val="0"/>
              <w:keepLines w:val="0"/>
              <w:pageBreakBefore w:val="0"/>
              <w:widowControl w:val="0"/>
              <w:kinsoku/>
              <w:wordWrap w:val="0"/>
              <w:overflowPunct/>
              <w:topLinePunct w:val="0"/>
              <w:autoSpaceDE/>
              <w:autoSpaceDN/>
              <w:bidi w:val="0"/>
              <w:adjustRightInd w:val="0"/>
              <w:snapToGrid w:val="0"/>
              <w:spacing w:beforeAutospacing="0" w:afterAutospacing="0" w:line="240" w:lineRule="auto"/>
              <w:ind w:left="0" w:leftChars="0" w:right="0" w:rightChars="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（项目名称）</w:t>
            </w:r>
          </w:p>
        </w:tc>
      </w:tr>
      <w:tr w14:paraId="1F9C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2794" w:type="dxa"/>
            <w:noWrap w:val="0"/>
            <w:vAlign w:val="center"/>
          </w:tcPr>
          <w:p w14:paraId="2407BC98">
            <w:pPr>
              <w:keepNext w:val="0"/>
              <w:keepLines w:val="0"/>
              <w:pageBreakBefore w:val="0"/>
              <w:widowControl w:val="0"/>
              <w:kinsoku/>
              <w:wordWrap w:val="0"/>
              <w:overflowPunct/>
              <w:topLinePunct w:val="0"/>
              <w:autoSpaceDE/>
              <w:autoSpaceDN/>
              <w:bidi w:val="0"/>
              <w:adjustRightInd w:val="0"/>
              <w:snapToGrid w:val="0"/>
              <w:spacing w:beforeAutospacing="0" w:afterAutospacing="0" w:line="240" w:lineRule="auto"/>
              <w:ind w:left="0" w:leftChars="0" w:right="0" w:rightChars="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lang w:eastAsia="zh-CN"/>
              </w:rPr>
              <w:t>初次</w:t>
            </w:r>
            <w:r>
              <w:rPr>
                <w:rFonts w:hint="eastAsia" w:ascii="宋体" w:hAnsi="宋体" w:eastAsia="宋体" w:cs="宋体"/>
                <w:i w:val="0"/>
                <w:iCs w:val="0"/>
                <w:color w:val="auto"/>
                <w:szCs w:val="21"/>
                <w:highlight w:val="none"/>
              </w:rPr>
              <w:t>报价</w:t>
            </w:r>
          </w:p>
        </w:tc>
        <w:tc>
          <w:tcPr>
            <w:tcW w:w="6685" w:type="dxa"/>
            <w:noWrap w:val="0"/>
            <w:vAlign w:val="center"/>
          </w:tcPr>
          <w:p w14:paraId="2E9C2AB2">
            <w:pPr>
              <w:keepNext w:val="0"/>
              <w:keepLines w:val="0"/>
              <w:pageBreakBefore w:val="0"/>
              <w:widowControl w:val="0"/>
              <w:kinsoku/>
              <w:wordWrap w:val="0"/>
              <w:overflowPunct/>
              <w:topLinePunct w:val="0"/>
              <w:autoSpaceDE/>
              <w:autoSpaceDN/>
              <w:bidi w:val="0"/>
              <w:adjustRightInd w:val="0"/>
              <w:snapToGrid w:val="0"/>
              <w:spacing w:beforeAutospacing="0" w:afterAutospacing="0" w:line="240" w:lineRule="auto"/>
              <w:ind w:right="0" w:rightChars="0"/>
              <w:jc w:val="left"/>
              <w:rPr>
                <w:rFonts w:hint="eastAsia" w:ascii="宋体" w:hAnsi="宋体" w:eastAsia="宋体" w:cs="宋体"/>
                <w:i w:val="0"/>
                <w:iCs w:val="0"/>
                <w:color w:val="auto"/>
                <w:szCs w:val="21"/>
                <w:highlight w:val="none"/>
              </w:rPr>
            </w:pPr>
          </w:p>
          <w:p w14:paraId="6BBF714C">
            <w:pPr>
              <w:keepNext w:val="0"/>
              <w:keepLines w:val="0"/>
              <w:pageBreakBefore w:val="0"/>
              <w:widowControl w:val="0"/>
              <w:kinsoku/>
              <w:wordWrap w:val="0"/>
              <w:overflowPunct/>
              <w:topLinePunct w:val="0"/>
              <w:autoSpaceDE/>
              <w:autoSpaceDN/>
              <w:bidi w:val="0"/>
              <w:adjustRightInd w:val="0"/>
              <w:snapToGrid w:val="0"/>
              <w:spacing w:beforeAutospacing="0" w:afterAutospacing="0" w:line="240" w:lineRule="auto"/>
              <w:ind w:right="0" w:rightChars="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人民币（大写）</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元</w:t>
            </w:r>
          </w:p>
          <w:p w14:paraId="25B4993C">
            <w:pPr>
              <w:pStyle w:val="4"/>
              <w:keepNext/>
              <w:keepLines/>
              <w:pageBreakBefore w:val="0"/>
              <w:widowControl w:val="0"/>
              <w:kinsoku/>
              <w:wordWrap/>
              <w:overflowPunct/>
              <w:topLinePunct w:val="0"/>
              <w:autoSpaceDE/>
              <w:autoSpaceDN/>
              <w:bidi w:val="0"/>
              <w:adjustRightInd w:val="0"/>
              <w:snapToGrid w:val="0"/>
              <w:spacing w:before="0" w:after="0" w:line="360" w:lineRule="auto"/>
              <w:textAlignment w:val="auto"/>
              <w:outlineLvl w:val="9"/>
              <w:rPr>
                <w:rFonts w:hint="eastAsia" w:ascii="宋体" w:hAnsi="宋体" w:eastAsia="宋体" w:cs="宋体"/>
                <w:color w:val="auto"/>
                <w:sz w:val="21"/>
                <w:szCs w:val="21"/>
                <w:highlight w:val="none"/>
              </w:rPr>
            </w:pPr>
          </w:p>
          <w:p w14:paraId="05BCEED7">
            <w:pPr>
              <w:keepNext w:val="0"/>
              <w:keepLines w:val="0"/>
              <w:pageBreakBefore w:val="0"/>
              <w:widowControl w:val="0"/>
              <w:kinsoku/>
              <w:wordWrap w:val="0"/>
              <w:overflowPunct/>
              <w:topLinePunct w:val="0"/>
              <w:autoSpaceDE/>
              <w:autoSpaceDN/>
              <w:bidi w:val="0"/>
              <w:adjustRightInd w:val="0"/>
              <w:snapToGrid w:val="0"/>
              <w:spacing w:beforeAutospacing="0" w:afterAutospacing="0" w:line="240" w:lineRule="auto"/>
              <w:ind w:left="0" w:leftChars="0" w:right="0" w:rightChars="0" w:firstLine="630" w:firstLineChars="3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（小写）</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元</w:t>
            </w:r>
          </w:p>
        </w:tc>
      </w:tr>
      <w:tr w14:paraId="0F0B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794" w:type="dxa"/>
            <w:noWrap w:val="0"/>
            <w:vAlign w:val="center"/>
          </w:tcPr>
          <w:p w14:paraId="6CDD7B1F">
            <w:pPr>
              <w:keepNext w:val="0"/>
              <w:keepLines w:val="0"/>
              <w:pageBreakBefore w:val="0"/>
              <w:widowControl w:val="0"/>
              <w:kinsoku/>
              <w:wordWrap w:val="0"/>
              <w:overflowPunct/>
              <w:topLinePunct w:val="0"/>
              <w:autoSpaceDE/>
              <w:autoSpaceDN/>
              <w:bidi w:val="0"/>
              <w:adjustRightInd w:val="0"/>
              <w:snapToGrid w:val="0"/>
              <w:spacing w:beforeAutospacing="0" w:afterAutospacing="0" w:line="240" w:lineRule="auto"/>
              <w:ind w:left="0" w:leftChars="0" w:right="0" w:rightChars="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w w:val="110"/>
                <w:szCs w:val="21"/>
                <w:highlight w:val="none"/>
              </w:rPr>
              <w:t>工期（</w:t>
            </w:r>
            <w:r>
              <w:rPr>
                <w:rFonts w:hint="eastAsia" w:ascii="宋体" w:hAnsi="宋体" w:eastAsia="宋体" w:cs="宋体"/>
                <w:i w:val="0"/>
                <w:iCs w:val="0"/>
                <w:color w:val="auto"/>
                <w:w w:val="110"/>
                <w:szCs w:val="21"/>
                <w:highlight w:val="none"/>
                <w:lang w:eastAsia="zh-CN"/>
              </w:rPr>
              <w:t>日历天</w:t>
            </w:r>
            <w:r>
              <w:rPr>
                <w:rFonts w:hint="eastAsia" w:ascii="宋体" w:hAnsi="宋体" w:eastAsia="宋体" w:cs="宋体"/>
                <w:i w:val="0"/>
                <w:iCs w:val="0"/>
                <w:color w:val="auto"/>
                <w:w w:val="110"/>
                <w:szCs w:val="21"/>
                <w:highlight w:val="none"/>
              </w:rPr>
              <w:t>）</w:t>
            </w:r>
          </w:p>
        </w:tc>
        <w:tc>
          <w:tcPr>
            <w:tcW w:w="6685" w:type="dxa"/>
            <w:noWrap w:val="0"/>
            <w:vAlign w:val="center"/>
          </w:tcPr>
          <w:p w14:paraId="1DF93989">
            <w:pPr>
              <w:keepNext w:val="0"/>
              <w:keepLines w:val="0"/>
              <w:pageBreakBefore w:val="0"/>
              <w:widowControl w:val="0"/>
              <w:kinsoku/>
              <w:wordWrap w:val="0"/>
              <w:overflowPunct/>
              <w:topLinePunct w:val="0"/>
              <w:autoSpaceDE/>
              <w:autoSpaceDN/>
              <w:bidi w:val="0"/>
              <w:adjustRightInd w:val="0"/>
              <w:snapToGrid w:val="0"/>
              <w:spacing w:beforeAutospacing="0" w:afterAutospacing="0" w:line="240" w:lineRule="auto"/>
              <w:ind w:left="0" w:leftChars="0" w:right="0" w:rightChars="0"/>
              <w:jc w:val="left"/>
              <w:rPr>
                <w:rFonts w:hint="eastAsia" w:ascii="宋体" w:hAnsi="宋体" w:eastAsia="宋体" w:cs="宋体"/>
                <w:i w:val="0"/>
                <w:iCs w:val="0"/>
                <w:color w:val="auto"/>
                <w:szCs w:val="21"/>
                <w:highlight w:val="none"/>
              </w:rPr>
            </w:pPr>
          </w:p>
        </w:tc>
      </w:tr>
      <w:tr w14:paraId="5AB3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2794" w:type="dxa"/>
            <w:noWrap w:val="0"/>
            <w:vAlign w:val="center"/>
          </w:tcPr>
          <w:p w14:paraId="695C22AC">
            <w:pPr>
              <w:keepNext w:val="0"/>
              <w:keepLines w:val="0"/>
              <w:pageBreakBefore w:val="0"/>
              <w:widowControl w:val="0"/>
              <w:kinsoku/>
              <w:wordWrap w:val="0"/>
              <w:overflowPunct/>
              <w:topLinePunct w:val="0"/>
              <w:autoSpaceDE/>
              <w:autoSpaceDN/>
              <w:bidi w:val="0"/>
              <w:adjustRightInd w:val="0"/>
              <w:snapToGrid w:val="0"/>
              <w:spacing w:beforeAutospacing="0" w:afterAutospacing="0" w:line="240" w:lineRule="auto"/>
              <w:ind w:left="0" w:leftChars="0" w:right="0" w:rightChars="0"/>
              <w:jc w:val="center"/>
              <w:rPr>
                <w:rFonts w:hint="eastAsia" w:ascii="宋体" w:hAnsi="宋体" w:eastAsia="宋体" w:cs="宋体"/>
                <w:i w:val="0"/>
                <w:iCs w:val="0"/>
                <w:color w:val="auto"/>
                <w:w w:val="110"/>
                <w:szCs w:val="21"/>
                <w:highlight w:val="none"/>
              </w:rPr>
            </w:pPr>
            <w:r>
              <w:rPr>
                <w:rFonts w:hint="eastAsia" w:ascii="宋体" w:hAnsi="宋体" w:eastAsia="宋体" w:cs="宋体"/>
                <w:i w:val="0"/>
                <w:iCs w:val="0"/>
                <w:color w:val="auto"/>
                <w:w w:val="110"/>
                <w:szCs w:val="21"/>
                <w:highlight w:val="none"/>
              </w:rPr>
              <w:t>质量标准</w:t>
            </w:r>
          </w:p>
        </w:tc>
        <w:tc>
          <w:tcPr>
            <w:tcW w:w="6685" w:type="dxa"/>
            <w:noWrap w:val="0"/>
            <w:vAlign w:val="center"/>
          </w:tcPr>
          <w:p w14:paraId="77F1D859">
            <w:pPr>
              <w:keepNext w:val="0"/>
              <w:keepLines w:val="0"/>
              <w:pageBreakBefore w:val="0"/>
              <w:widowControl w:val="0"/>
              <w:kinsoku/>
              <w:wordWrap w:val="0"/>
              <w:overflowPunct/>
              <w:topLinePunct w:val="0"/>
              <w:autoSpaceDE/>
              <w:autoSpaceDN/>
              <w:bidi w:val="0"/>
              <w:adjustRightInd w:val="0"/>
              <w:snapToGrid w:val="0"/>
              <w:spacing w:beforeAutospacing="0" w:afterAutospacing="0" w:line="240" w:lineRule="auto"/>
              <w:ind w:left="0" w:leftChars="0" w:right="0" w:rightChars="0"/>
              <w:jc w:val="left"/>
              <w:rPr>
                <w:rFonts w:hint="eastAsia" w:ascii="宋体" w:hAnsi="宋体" w:eastAsia="宋体" w:cs="宋体"/>
                <w:i w:val="0"/>
                <w:iCs w:val="0"/>
                <w:color w:val="auto"/>
                <w:w w:val="110"/>
                <w:szCs w:val="21"/>
                <w:highlight w:val="none"/>
              </w:rPr>
            </w:pPr>
          </w:p>
        </w:tc>
      </w:tr>
      <w:tr w14:paraId="5C77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2794" w:type="dxa"/>
            <w:noWrap w:val="0"/>
            <w:vAlign w:val="center"/>
          </w:tcPr>
          <w:p w14:paraId="13B871C1">
            <w:pPr>
              <w:keepNext w:val="0"/>
              <w:keepLines w:val="0"/>
              <w:pageBreakBefore w:val="0"/>
              <w:widowControl w:val="0"/>
              <w:kinsoku/>
              <w:wordWrap w:val="0"/>
              <w:overflowPunct/>
              <w:topLinePunct w:val="0"/>
              <w:autoSpaceDE/>
              <w:autoSpaceDN/>
              <w:bidi w:val="0"/>
              <w:adjustRightInd w:val="0"/>
              <w:snapToGrid w:val="0"/>
              <w:spacing w:beforeAutospacing="0" w:afterAutospacing="0" w:line="240" w:lineRule="auto"/>
              <w:ind w:left="0" w:leftChars="0" w:right="0" w:rightChars="0"/>
              <w:jc w:val="center"/>
              <w:rPr>
                <w:rFonts w:hint="eastAsia" w:ascii="宋体" w:hAnsi="宋体" w:eastAsia="宋体" w:cs="宋体"/>
                <w:i w:val="0"/>
                <w:iCs w:val="0"/>
                <w:color w:val="auto"/>
                <w:w w:val="110"/>
                <w:szCs w:val="21"/>
                <w:highlight w:val="none"/>
              </w:rPr>
            </w:pPr>
            <w:r>
              <w:rPr>
                <w:rFonts w:hint="eastAsia" w:ascii="宋体" w:hAnsi="宋体" w:eastAsia="宋体" w:cs="宋体"/>
                <w:i w:val="0"/>
                <w:iCs w:val="0"/>
                <w:color w:val="auto"/>
                <w:w w:val="110"/>
                <w:szCs w:val="21"/>
                <w:highlight w:val="none"/>
              </w:rPr>
              <w:t>质保期</w:t>
            </w:r>
          </w:p>
        </w:tc>
        <w:tc>
          <w:tcPr>
            <w:tcW w:w="6685" w:type="dxa"/>
            <w:noWrap w:val="0"/>
            <w:vAlign w:val="center"/>
          </w:tcPr>
          <w:p w14:paraId="164ECED7">
            <w:pPr>
              <w:keepNext w:val="0"/>
              <w:keepLines w:val="0"/>
              <w:pageBreakBefore w:val="0"/>
              <w:widowControl w:val="0"/>
              <w:kinsoku/>
              <w:wordWrap w:val="0"/>
              <w:overflowPunct/>
              <w:topLinePunct w:val="0"/>
              <w:autoSpaceDE/>
              <w:autoSpaceDN/>
              <w:bidi w:val="0"/>
              <w:adjustRightInd w:val="0"/>
              <w:snapToGrid w:val="0"/>
              <w:spacing w:beforeAutospacing="0" w:afterAutospacing="0" w:line="240" w:lineRule="auto"/>
              <w:ind w:left="0" w:leftChars="0" w:right="0" w:rightChars="0"/>
              <w:jc w:val="left"/>
              <w:rPr>
                <w:rFonts w:hint="eastAsia" w:ascii="宋体" w:hAnsi="宋体" w:eastAsia="宋体" w:cs="宋体"/>
                <w:i w:val="0"/>
                <w:iCs w:val="0"/>
                <w:color w:val="auto"/>
                <w:w w:val="110"/>
                <w:szCs w:val="21"/>
                <w:highlight w:val="none"/>
              </w:rPr>
            </w:pPr>
          </w:p>
        </w:tc>
      </w:tr>
      <w:tr w14:paraId="0873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2794" w:type="dxa"/>
            <w:noWrap w:val="0"/>
            <w:vAlign w:val="center"/>
          </w:tcPr>
          <w:p w14:paraId="15258545">
            <w:pPr>
              <w:pageBreakBefore w:val="0"/>
              <w:kinsoku/>
              <w:overflowPunct/>
              <w:topLinePunct w:val="0"/>
              <w:bidi w:val="0"/>
              <w:spacing w:line="360" w:lineRule="auto"/>
              <w:ind w:left="0" w:leftChars="0" w:right="0" w:rightChars="0"/>
              <w:jc w:val="center"/>
              <w:rPr>
                <w:rFonts w:hint="eastAsia" w:ascii="宋体" w:hAnsi="宋体" w:eastAsia="宋体" w:cs="宋体"/>
                <w:i w:val="0"/>
                <w:iCs w:val="0"/>
                <w:color w:val="auto"/>
                <w:w w:val="110"/>
                <w:szCs w:val="21"/>
                <w:highlight w:val="none"/>
                <w:lang w:val="en-US" w:eastAsia="zh-CN"/>
              </w:rPr>
            </w:pPr>
            <w:r>
              <w:rPr>
                <w:rFonts w:hint="eastAsia" w:ascii="宋体" w:hAnsi="宋体" w:eastAsia="宋体" w:cs="宋体"/>
                <w:color w:val="auto"/>
                <w:szCs w:val="21"/>
                <w:highlight w:val="none"/>
              </w:rPr>
              <w:t>项目经理</w:t>
            </w:r>
          </w:p>
        </w:tc>
        <w:tc>
          <w:tcPr>
            <w:tcW w:w="6685" w:type="dxa"/>
            <w:noWrap w:val="0"/>
            <w:vAlign w:val="center"/>
          </w:tcPr>
          <w:p w14:paraId="77B86155">
            <w:pPr>
              <w:pageBreakBefore w:val="0"/>
              <w:kinsoku/>
              <w:overflowPunct/>
              <w:topLinePunct w:val="0"/>
              <w:bidi w:val="0"/>
              <w:spacing w:line="360" w:lineRule="auto"/>
              <w:ind w:left="0" w:leftChars="0" w:right="0" w:rightChars="0"/>
              <w:jc w:val="both"/>
              <w:rPr>
                <w:rFonts w:hint="eastAsia" w:ascii="宋体" w:hAnsi="宋体" w:eastAsia="宋体" w:cs="宋体"/>
                <w:i w:val="0"/>
                <w:iCs w:val="0"/>
                <w:color w:val="auto"/>
                <w:w w:val="110"/>
                <w:szCs w:val="21"/>
                <w:highlight w:val="none"/>
                <w:lang w:val="en-US" w:eastAsia="zh-CN"/>
              </w:rPr>
            </w:pPr>
            <w:r>
              <w:rPr>
                <w:rFonts w:hint="eastAsia" w:ascii="宋体" w:hAnsi="宋体" w:eastAsia="宋体" w:cs="宋体"/>
                <w:color w:val="auto"/>
                <w:szCs w:val="21"/>
                <w:highlight w:val="none"/>
                <w:lang w:eastAsia="zh-CN"/>
              </w:rPr>
              <w:t>姓名：</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证书等级：</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注册编号：</w:t>
            </w:r>
            <w:r>
              <w:rPr>
                <w:rFonts w:hint="eastAsia" w:ascii="宋体" w:hAnsi="宋体" w:eastAsia="宋体" w:cs="宋体"/>
                <w:color w:val="auto"/>
                <w:szCs w:val="21"/>
                <w:highlight w:val="none"/>
                <w:u w:val="single"/>
                <w:lang w:val="en-US" w:eastAsia="zh-CN"/>
              </w:rPr>
              <w:t xml:space="preserve">                 </w:t>
            </w:r>
          </w:p>
        </w:tc>
      </w:tr>
      <w:tr w14:paraId="7FC7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2794" w:type="dxa"/>
            <w:noWrap w:val="0"/>
            <w:vAlign w:val="center"/>
          </w:tcPr>
          <w:p w14:paraId="0676ACDD">
            <w:pPr>
              <w:pageBreakBefore w:val="0"/>
              <w:kinsoku/>
              <w:overflowPunct/>
              <w:topLinePunct w:val="0"/>
              <w:bidi w:val="0"/>
              <w:spacing w:line="360" w:lineRule="auto"/>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kern w:val="0"/>
                <w:szCs w:val="21"/>
                <w:highlight w:val="none"/>
              </w:rPr>
              <w:t>或授权代表</w:t>
            </w:r>
          </w:p>
          <w:p w14:paraId="76FEEB97">
            <w:pPr>
              <w:pageBreakBefore w:val="0"/>
              <w:kinsoku/>
              <w:overflowPunct/>
              <w:topLinePunct w:val="0"/>
              <w:bidi w:val="0"/>
              <w:spacing w:line="360" w:lineRule="auto"/>
              <w:ind w:left="0" w:leftChars="0" w:right="0" w:rightChars="0"/>
              <w:jc w:val="center"/>
              <w:rPr>
                <w:rFonts w:hint="eastAsia" w:ascii="宋体" w:hAnsi="宋体" w:eastAsia="宋体" w:cs="宋体"/>
                <w:i w:val="0"/>
                <w:iCs w:val="0"/>
                <w:color w:val="auto"/>
                <w:w w:val="110"/>
                <w:szCs w:val="21"/>
                <w:highlight w:val="none"/>
                <w:lang w:val="en-US" w:eastAsia="zh-CN"/>
              </w:rPr>
            </w:pPr>
            <w:r>
              <w:rPr>
                <w:rFonts w:hint="eastAsia" w:ascii="宋体" w:hAnsi="宋体" w:eastAsia="宋体" w:cs="宋体"/>
                <w:color w:val="auto"/>
                <w:szCs w:val="21"/>
                <w:highlight w:val="none"/>
              </w:rPr>
              <w:t>（签字或盖章）</w:t>
            </w:r>
          </w:p>
        </w:tc>
        <w:tc>
          <w:tcPr>
            <w:tcW w:w="6685" w:type="dxa"/>
            <w:noWrap w:val="0"/>
            <w:vAlign w:val="center"/>
          </w:tcPr>
          <w:p w14:paraId="257EEC11">
            <w:pPr>
              <w:pageBreakBefore w:val="0"/>
              <w:kinsoku/>
              <w:overflowPunct/>
              <w:topLinePunct w:val="0"/>
              <w:bidi w:val="0"/>
              <w:spacing w:line="360" w:lineRule="auto"/>
              <w:ind w:left="0" w:leftChars="0" w:right="0" w:rightChars="0"/>
              <w:jc w:val="center"/>
              <w:rPr>
                <w:rFonts w:hint="eastAsia" w:ascii="宋体" w:hAnsi="宋体" w:eastAsia="宋体" w:cs="宋体"/>
                <w:i w:val="0"/>
                <w:iCs w:val="0"/>
                <w:color w:val="auto"/>
                <w:w w:val="110"/>
                <w:szCs w:val="21"/>
                <w:highlight w:val="none"/>
                <w:lang w:val="en-US" w:eastAsia="zh-CN"/>
              </w:rPr>
            </w:pPr>
          </w:p>
        </w:tc>
      </w:tr>
    </w:tbl>
    <w:p w14:paraId="3593BD92">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i w:val="0"/>
          <w:iCs w:val="0"/>
          <w:color w:val="auto"/>
          <w:szCs w:val="21"/>
          <w:highlight w:val="none"/>
        </w:rPr>
      </w:pPr>
    </w:p>
    <w:p w14:paraId="0EF9E7D7">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rPr>
        <w:t>供应商（盖章）</w:t>
      </w:r>
      <w:r>
        <w:rPr>
          <w:rFonts w:hint="eastAsia" w:ascii="宋体" w:hAnsi="宋体" w:eastAsia="宋体" w:cs="宋体"/>
          <w:i w:val="0"/>
          <w:iCs w:val="0"/>
          <w:color w:val="auto"/>
          <w:szCs w:val="21"/>
          <w:highlight w:val="none"/>
          <w:lang w:eastAsia="zh-CN"/>
        </w:rPr>
        <w:t>：</w:t>
      </w:r>
    </w:p>
    <w:p w14:paraId="10A6269B">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i w:val="0"/>
          <w:iCs w:val="0"/>
          <w:color w:val="auto"/>
          <w:szCs w:val="21"/>
          <w:highlight w:val="none"/>
        </w:rPr>
      </w:pPr>
    </w:p>
    <w:p w14:paraId="72801B10">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rPr>
        <w:t>法人代表或委托代理人（签字或盖章）</w:t>
      </w:r>
      <w:r>
        <w:rPr>
          <w:rFonts w:hint="eastAsia" w:ascii="宋体" w:hAnsi="宋体" w:eastAsia="宋体" w:cs="宋体"/>
          <w:i w:val="0"/>
          <w:iCs w:val="0"/>
          <w:color w:val="auto"/>
          <w:szCs w:val="21"/>
          <w:highlight w:val="none"/>
          <w:lang w:eastAsia="zh-CN"/>
        </w:rPr>
        <w:t>：</w:t>
      </w:r>
    </w:p>
    <w:p w14:paraId="32E91F31">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i w:val="0"/>
          <w:iCs w:val="0"/>
          <w:color w:val="auto"/>
          <w:szCs w:val="21"/>
          <w:highlight w:val="none"/>
        </w:rPr>
      </w:pPr>
    </w:p>
    <w:p w14:paraId="50BC2265">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b/>
          <w:i w:val="0"/>
          <w:iCs w:val="0"/>
          <w:color w:val="auto"/>
          <w:szCs w:val="21"/>
          <w:highlight w:val="none"/>
        </w:rPr>
      </w:pPr>
      <w:r>
        <w:rPr>
          <w:rFonts w:hint="eastAsia" w:ascii="宋体" w:hAnsi="宋体" w:eastAsia="宋体" w:cs="宋体"/>
          <w:i w:val="0"/>
          <w:iCs w:val="0"/>
          <w:color w:val="auto"/>
          <w:szCs w:val="21"/>
          <w:highlight w:val="none"/>
        </w:rPr>
        <w:t>日期</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年</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月</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 xml:space="preserve">日 </w:t>
      </w:r>
    </w:p>
    <w:p w14:paraId="0C8EBFBA">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szCs w:val="21"/>
          <w:highlight w:val="none"/>
        </w:rPr>
      </w:pPr>
      <w:r>
        <w:rPr>
          <w:rFonts w:hint="eastAsia" w:ascii="宋体" w:hAnsi="宋体" w:eastAsia="宋体" w:cs="宋体"/>
          <w:b/>
          <w:bCs w:val="0"/>
          <w:i w:val="0"/>
          <w:iCs w:val="0"/>
          <w:color w:val="auto"/>
          <w:szCs w:val="21"/>
          <w:highlight w:val="none"/>
        </w:rPr>
        <w:t>说明</w:t>
      </w:r>
      <w:r>
        <w:rPr>
          <w:rFonts w:hint="eastAsia" w:ascii="宋体" w:hAnsi="宋体" w:eastAsia="宋体" w:cs="宋体"/>
          <w:b/>
          <w:bCs w:val="0"/>
          <w:i w:val="0"/>
          <w:iCs w:val="0"/>
          <w:color w:val="auto"/>
          <w:szCs w:val="21"/>
          <w:highlight w:val="none"/>
          <w:lang w:eastAsia="zh-CN"/>
        </w:rPr>
        <w:t>：</w:t>
      </w:r>
      <w:r>
        <w:rPr>
          <w:rFonts w:hint="eastAsia" w:ascii="宋体" w:hAnsi="宋体" w:eastAsia="宋体" w:cs="宋体"/>
          <w:b/>
          <w:i w:val="0"/>
          <w:iCs w:val="0"/>
          <w:color w:val="auto"/>
          <w:szCs w:val="21"/>
          <w:highlight w:val="none"/>
        </w:rPr>
        <w:t>1、报价币种为人民币元；</w:t>
      </w:r>
    </w:p>
    <w:p w14:paraId="70F35274">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1054" w:firstLineChars="500"/>
        <w:jc w:val="left"/>
        <w:rPr>
          <w:rFonts w:hint="eastAsia" w:ascii="宋体" w:hAnsi="宋体" w:eastAsia="宋体" w:cs="宋体"/>
          <w:b/>
          <w:i w:val="0"/>
          <w:iCs w:val="0"/>
          <w:color w:val="auto"/>
          <w:highlight w:val="none"/>
        </w:rPr>
      </w:pPr>
      <w:r>
        <w:rPr>
          <w:rFonts w:hint="eastAsia" w:ascii="宋体" w:hAnsi="宋体" w:eastAsia="宋体" w:cs="宋体"/>
          <w:b/>
          <w:i w:val="0"/>
          <w:iCs w:val="0"/>
          <w:color w:val="auto"/>
          <w:szCs w:val="21"/>
          <w:highlight w:val="none"/>
        </w:rPr>
        <w:t>2、</w:t>
      </w:r>
      <w:r>
        <w:rPr>
          <w:rFonts w:hint="eastAsia" w:ascii="宋体" w:hAnsi="宋体" w:eastAsia="宋体" w:cs="宋体"/>
          <w:b/>
          <w:i w:val="0"/>
          <w:iCs w:val="0"/>
          <w:color w:val="auto"/>
          <w:szCs w:val="21"/>
          <w:highlight w:val="none"/>
          <w:lang w:eastAsia="zh-CN"/>
        </w:rPr>
        <w:t>供应商</w:t>
      </w:r>
      <w:r>
        <w:rPr>
          <w:rFonts w:hint="eastAsia" w:ascii="宋体" w:hAnsi="宋体" w:eastAsia="宋体" w:cs="宋体"/>
          <w:b/>
          <w:i w:val="0"/>
          <w:iCs w:val="0"/>
          <w:color w:val="auto"/>
          <w:szCs w:val="21"/>
          <w:highlight w:val="none"/>
        </w:rPr>
        <w:t>的报价包括完成本工程的全部费用。其中，磋商代理服务费应分摊在报价中。</w:t>
      </w:r>
    </w:p>
    <w:bookmarkEnd w:id="74"/>
    <w:p w14:paraId="060B0812">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right="0" w:rightChars="0"/>
        <w:jc w:val="center"/>
        <w:outlineLvl w:val="1"/>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（二）初次报价的已标价工程量清单</w:t>
      </w:r>
    </w:p>
    <w:bookmarkEnd w:id="63"/>
    <w:bookmarkEnd w:id="64"/>
    <w:bookmarkEnd w:id="65"/>
    <w:bookmarkEnd w:id="66"/>
    <w:p w14:paraId="28FA2F17">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right="0" w:rightChars="0"/>
        <w:jc w:val="center"/>
        <w:rPr>
          <w:rFonts w:hint="eastAsia" w:ascii="宋体" w:hAnsi="宋体" w:eastAsia="宋体" w:cs="宋体"/>
          <w:b/>
          <w:color w:val="auto"/>
          <w:sz w:val="32"/>
          <w:szCs w:val="32"/>
          <w:highlight w:val="none"/>
        </w:rPr>
      </w:pPr>
      <w:bookmarkStart w:id="76" w:name="_Toc300901198"/>
      <w:bookmarkStart w:id="77" w:name="_Toc374107072"/>
      <w:bookmarkStart w:id="78" w:name="_Toc323642003"/>
      <w:r>
        <w:rPr>
          <w:rFonts w:hint="eastAsia" w:ascii="宋体" w:hAnsi="宋体" w:eastAsia="宋体" w:cs="宋体"/>
          <w:b/>
          <w:color w:val="auto"/>
          <w:sz w:val="32"/>
          <w:szCs w:val="32"/>
          <w:highlight w:val="none"/>
          <w:lang w:val="en-US" w:eastAsia="zh-CN"/>
        </w:rPr>
        <w:br w:type="page"/>
      </w: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w:t>
      </w:r>
      <w:bookmarkEnd w:id="76"/>
      <w:bookmarkEnd w:id="77"/>
      <w:bookmarkEnd w:id="78"/>
      <w:r>
        <w:rPr>
          <w:rFonts w:hint="eastAsia" w:ascii="宋体" w:hAnsi="宋体" w:eastAsia="宋体" w:cs="宋体"/>
          <w:b/>
          <w:color w:val="auto"/>
          <w:sz w:val="32"/>
          <w:szCs w:val="32"/>
          <w:highlight w:val="none"/>
        </w:rPr>
        <w:t>技术标</w:t>
      </w:r>
    </w:p>
    <w:p w14:paraId="442D6D6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0C073320">
      <w:pPr>
        <w:keepNext w:val="0"/>
        <w:keepLines w:val="0"/>
        <w:pageBreakBefore w:val="0"/>
        <w:widowControl w:val="0"/>
        <w:kinsoku/>
        <w:wordWrap w:val="0"/>
        <w:overflowPunct/>
        <w:topLinePunct w:val="0"/>
        <w:autoSpaceDE/>
        <w:autoSpaceDN/>
        <w:bidi w:val="0"/>
        <w:adjustRightInd w:val="0"/>
        <w:snapToGrid w:val="0"/>
        <w:spacing w:line="360" w:lineRule="auto"/>
        <w:ind w:right="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1．供应商应根据竞争性磋商文件和对现场的勘察情况，采用文字并结合图表形式，参考以下要点编制本工程的施工组织设计：</w:t>
      </w:r>
    </w:p>
    <w:p w14:paraId="28F3697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1、总体概述</w:t>
      </w:r>
    </w:p>
    <w:p w14:paraId="641E3CE2">
      <w:pPr>
        <w:keepNext w:val="0"/>
        <w:keepLines w:val="0"/>
        <w:pageBreakBefore w:val="0"/>
        <w:widowControl w:val="0"/>
        <w:kinsoku/>
        <w:wordWrap w:val="0"/>
        <w:overflowPunct/>
        <w:topLinePunct w:val="0"/>
        <w:autoSpaceDE/>
        <w:autoSpaceDN/>
        <w:bidi w:val="0"/>
        <w:adjustRightInd w:val="0"/>
        <w:snapToGrid w:val="0"/>
        <w:spacing w:line="360" w:lineRule="auto"/>
        <w:ind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2、施工进度计划和保证措施</w:t>
      </w:r>
    </w:p>
    <w:p w14:paraId="3D48DE7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3、质量管理体系与措施</w:t>
      </w:r>
    </w:p>
    <w:p w14:paraId="3B709974">
      <w:pPr>
        <w:keepNext w:val="0"/>
        <w:keepLines w:val="0"/>
        <w:pageBreakBefore w:val="0"/>
        <w:widowControl w:val="0"/>
        <w:kinsoku/>
        <w:wordWrap w:val="0"/>
        <w:overflowPunct/>
        <w:topLinePunct w:val="0"/>
        <w:autoSpaceDE/>
        <w:autoSpaceDN/>
        <w:bidi w:val="0"/>
        <w:adjustRightInd w:val="0"/>
        <w:snapToGrid w:val="0"/>
        <w:spacing w:line="360" w:lineRule="auto"/>
        <w:ind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4、安全管理体系与措施</w:t>
      </w:r>
    </w:p>
    <w:p w14:paraId="3CEC7E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5、环保管理体系与措施</w:t>
      </w:r>
    </w:p>
    <w:p w14:paraId="5CF52481">
      <w:pPr>
        <w:keepNext w:val="0"/>
        <w:keepLines w:val="0"/>
        <w:pageBreakBefore w:val="0"/>
        <w:widowControl w:val="0"/>
        <w:kinsoku/>
        <w:wordWrap w:val="0"/>
        <w:overflowPunct/>
        <w:topLinePunct w:val="0"/>
        <w:autoSpaceDE/>
        <w:autoSpaceDN/>
        <w:bidi w:val="0"/>
        <w:adjustRightInd w:val="0"/>
        <w:snapToGrid w:val="0"/>
        <w:spacing w:line="360" w:lineRule="auto"/>
        <w:ind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6、文明管理体系与措施</w:t>
      </w:r>
    </w:p>
    <w:p w14:paraId="40AAF47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7、资源配备计划及措施</w:t>
      </w:r>
    </w:p>
    <w:p w14:paraId="55DB8859">
      <w:pPr>
        <w:keepNext w:val="0"/>
        <w:keepLines w:val="0"/>
        <w:pageBreakBefore w:val="0"/>
        <w:widowControl w:val="0"/>
        <w:kinsoku/>
        <w:wordWrap w:val="0"/>
        <w:overflowPunct/>
        <w:topLinePunct w:val="0"/>
        <w:autoSpaceDE/>
        <w:autoSpaceDN/>
        <w:bidi w:val="0"/>
        <w:adjustRightInd w:val="0"/>
        <w:snapToGrid w:val="0"/>
        <w:spacing w:line="360" w:lineRule="auto"/>
        <w:ind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8、施工管理及措施</w:t>
      </w:r>
    </w:p>
    <w:p w14:paraId="278B2D4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Cs w:val="21"/>
        </w:rPr>
        <w:t>施工关键部位、材料采购要点的控制及措施（根据工程特点及本磋商文件要求应具有针对性）</w:t>
      </w:r>
    </w:p>
    <w:p w14:paraId="650981E4">
      <w:pPr>
        <w:keepNext w:val="0"/>
        <w:keepLines w:val="0"/>
        <w:pageBreakBefore w:val="0"/>
        <w:widowControl w:val="0"/>
        <w:kinsoku/>
        <w:wordWrap w:val="0"/>
        <w:overflowPunct/>
        <w:topLinePunct w:val="0"/>
        <w:autoSpaceDE/>
        <w:autoSpaceDN/>
        <w:bidi w:val="0"/>
        <w:adjustRightInd w:val="0"/>
        <w:snapToGrid w:val="0"/>
        <w:spacing w:line="360" w:lineRule="auto"/>
        <w:ind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10、扬尘治理措施</w:t>
      </w:r>
    </w:p>
    <w:p w14:paraId="5034708C">
      <w:pPr>
        <w:keepNext w:val="0"/>
        <w:keepLines w:val="0"/>
        <w:pageBreakBefore w:val="0"/>
        <w:widowControl w:val="0"/>
        <w:kinsoku/>
        <w:wordWrap w:val="0"/>
        <w:overflowPunct/>
        <w:topLinePunct w:val="0"/>
        <w:autoSpaceDE/>
        <w:autoSpaceDN/>
        <w:bidi w:val="0"/>
        <w:adjustRightInd w:val="0"/>
        <w:snapToGrid w:val="0"/>
        <w:spacing w:line="360" w:lineRule="auto"/>
        <w:ind w:right="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2．施工组织设计除采用文字表述外可附下列图表。</w:t>
      </w:r>
    </w:p>
    <w:p w14:paraId="6EADACE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附表一  拟投入本工程的主要施工设备表</w:t>
      </w:r>
    </w:p>
    <w:p w14:paraId="3EC356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附表二  拟配备本工程的试验和检测仪器设备表</w:t>
      </w:r>
    </w:p>
    <w:p w14:paraId="1ECA934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附表三  劳动力计划表</w:t>
      </w:r>
    </w:p>
    <w:p w14:paraId="50A65BF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附表四  计划开、竣工日期和施工进度网络图</w:t>
      </w:r>
    </w:p>
    <w:p w14:paraId="197B4B8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附表五  施工总平面图</w:t>
      </w:r>
    </w:p>
    <w:p w14:paraId="65312BF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附表六  临时用地表</w:t>
      </w:r>
    </w:p>
    <w:p w14:paraId="5FD3506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附表一：拟投入本工程的主要施工设备表</w:t>
      </w:r>
    </w:p>
    <w:tbl>
      <w:tblPr>
        <w:tblStyle w:val="11"/>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82"/>
        <w:gridCol w:w="746"/>
        <w:gridCol w:w="1134"/>
        <w:gridCol w:w="786"/>
        <w:gridCol w:w="786"/>
        <w:gridCol w:w="1304"/>
        <w:gridCol w:w="968"/>
        <w:gridCol w:w="968"/>
        <w:gridCol w:w="845"/>
      </w:tblGrid>
      <w:tr w14:paraId="29DA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15" w:type="dxa"/>
            <w:noWrap w:val="0"/>
            <w:vAlign w:val="center"/>
          </w:tcPr>
          <w:p w14:paraId="5E68803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82" w:type="dxa"/>
            <w:noWrap w:val="0"/>
            <w:vAlign w:val="center"/>
          </w:tcPr>
          <w:p w14:paraId="6876FBF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746" w:type="dxa"/>
            <w:noWrap w:val="0"/>
            <w:vAlign w:val="center"/>
          </w:tcPr>
          <w:p w14:paraId="6E15078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4EA8ECA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1134" w:type="dxa"/>
            <w:noWrap w:val="0"/>
            <w:vAlign w:val="center"/>
          </w:tcPr>
          <w:p w14:paraId="2BD8A34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  量</w:t>
            </w:r>
          </w:p>
        </w:tc>
        <w:tc>
          <w:tcPr>
            <w:tcW w:w="786" w:type="dxa"/>
            <w:noWrap w:val="0"/>
            <w:vAlign w:val="center"/>
          </w:tcPr>
          <w:p w14:paraId="1583A4B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国别</w:t>
            </w:r>
          </w:p>
          <w:p w14:paraId="119D63B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786" w:type="dxa"/>
            <w:noWrap w:val="0"/>
            <w:vAlign w:val="center"/>
          </w:tcPr>
          <w:p w14:paraId="42AAF70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w:t>
            </w:r>
          </w:p>
          <w:p w14:paraId="2066F69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年份</w:t>
            </w:r>
          </w:p>
        </w:tc>
        <w:tc>
          <w:tcPr>
            <w:tcW w:w="1304" w:type="dxa"/>
            <w:noWrap w:val="0"/>
            <w:vAlign w:val="center"/>
          </w:tcPr>
          <w:p w14:paraId="7DAF1C3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额定功率</w:t>
            </w:r>
          </w:p>
          <w:p w14:paraId="4C6647C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（KW）</w:t>
            </w:r>
          </w:p>
        </w:tc>
        <w:tc>
          <w:tcPr>
            <w:tcW w:w="968" w:type="dxa"/>
            <w:noWrap w:val="0"/>
            <w:vAlign w:val="center"/>
          </w:tcPr>
          <w:p w14:paraId="63E13F2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w:t>
            </w:r>
          </w:p>
          <w:p w14:paraId="4DF6F10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能力</w:t>
            </w:r>
          </w:p>
        </w:tc>
        <w:tc>
          <w:tcPr>
            <w:tcW w:w="968" w:type="dxa"/>
            <w:noWrap w:val="0"/>
            <w:vAlign w:val="center"/>
          </w:tcPr>
          <w:p w14:paraId="76F157A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用于施</w:t>
            </w:r>
          </w:p>
          <w:p w14:paraId="5C5521B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工部位</w:t>
            </w:r>
          </w:p>
        </w:tc>
        <w:tc>
          <w:tcPr>
            <w:tcW w:w="845" w:type="dxa"/>
            <w:noWrap w:val="0"/>
            <w:vAlign w:val="center"/>
          </w:tcPr>
          <w:p w14:paraId="10547DA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5B4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18A07B9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45D35E9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6ADCFF5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462CAD9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51A0182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30AB30F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6A7E799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5177BD2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786BFAC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5CFD694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6DE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7CC5392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22E2276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44CBF71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13008D5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3AA902A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68641A0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3AF2F75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388F76E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0DB9751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77D032C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1494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3FD9735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1FA8DC0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144FDE5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7C36946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062C317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5970EF1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05F8FF7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259CA9A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73EA6B4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1ED25ED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4934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31FCC88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6AA7061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49D7939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7212E0C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4B0CD78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251C997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3C0B0D9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3395F03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3997A45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0CEC04C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1514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1EE2A24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15BA84E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5D5D0AB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02CDB98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48F1F09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0929395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4FB1934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28CE15A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7904C33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4125409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07FB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2C8F309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7C2A8D1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22E6059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54FA040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429C774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6143DD5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4FD7C4F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18FA50F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2A39775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1286DC2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677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2D8B55E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332FB58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3220FE8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7DC6A43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328A34C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50C32E5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4F4206D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712A636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27C97D0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229CED6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9DD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2486C43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64A3A1E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78E9384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75E02CF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05E6E1B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0CD4BE7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5B849C0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14CF7F6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3E70D0C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2B90D49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549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569647B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277A1D4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01B4856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49271D8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7C3BA6E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3B4E649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4E3A183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7ED68B1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78374F6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32EF259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7413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49DD66C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63AA3BE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2A62B9C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22F66D6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16876ED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359FD52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4000862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00C6884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2CCA68D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19671EB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7CA5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3A04E22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4FBE00A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5526E5D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746262E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7C78773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5ADDE41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2F66016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494E722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2B7D3CB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71FDBB2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1BF4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7201AF6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0687B9C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6E2E634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6239990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4FB6E74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09F57FD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7E1AC65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00AB7A5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3EFD91F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08D88DA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104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75179D6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5707CA8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11812E0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1525717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5832F88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3A6CD61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5823E0D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77FF113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0B9B042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367126B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9CB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5ECAC4D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737E301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77E12FB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7384794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7868995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79E9BE5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337FDBC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0862333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58AB453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535D57A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CB5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349DDDF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5A0E238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7980A9F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5ADC0EA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5390767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1E59D47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5FF224E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3B1C54A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454B21D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1906DF7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445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6CAE960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263FADC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5798C16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7EF0919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67F339C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7F08C8E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63165FE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478F865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21DDE0C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759CA72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4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234BFF2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7495464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629AC19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699FE6C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495C44C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5A19F2C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17E529D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6827006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151BC73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026B102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03B2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4535D8C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454A27C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2966E3D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70FE0C7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657FFF7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2751245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1793218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7BFA319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011E682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5E07553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72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2485C83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50D4BD8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25487CC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1330E13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6D810D1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76A4DA6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3061AD7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56DC2BA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6F12848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479DF74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436F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109D356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0E5001C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3CE80D0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0CD3FB1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60DE99A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3BCA1F9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1B8D748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646D68D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2651447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7D8B908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B95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6E8F5D8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2CAA4CE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28D348C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0E64CDC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75014D1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73DB352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087A4F6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3424322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2ABD534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5DDEC66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353B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5" w:type="dxa"/>
            <w:noWrap w:val="0"/>
            <w:vAlign w:val="center"/>
          </w:tcPr>
          <w:p w14:paraId="06481CF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5C4EBC6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0912A2D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0123542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10F859B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1832A03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2C97426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3BCD115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4ADD2FE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287BFB9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233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15" w:type="dxa"/>
            <w:noWrap w:val="0"/>
            <w:vAlign w:val="center"/>
          </w:tcPr>
          <w:p w14:paraId="371213F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82" w:type="dxa"/>
            <w:noWrap w:val="0"/>
            <w:vAlign w:val="center"/>
          </w:tcPr>
          <w:p w14:paraId="2E5F8AF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46" w:type="dxa"/>
            <w:noWrap w:val="0"/>
            <w:vAlign w:val="center"/>
          </w:tcPr>
          <w:p w14:paraId="1D5688D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34" w:type="dxa"/>
            <w:noWrap w:val="0"/>
            <w:vAlign w:val="center"/>
          </w:tcPr>
          <w:p w14:paraId="1504283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22363DC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86" w:type="dxa"/>
            <w:noWrap w:val="0"/>
            <w:vAlign w:val="center"/>
          </w:tcPr>
          <w:p w14:paraId="533B54C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04" w:type="dxa"/>
            <w:noWrap w:val="0"/>
            <w:vAlign w:val="center"/>
          </w:tcPr>
          <w:p w14:paraId="109904A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668B821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7109825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45" w:type="dxa"/>
            <w:noWrap w:val="0"/>
            <w:vAlign w:val="center"/>
          </w:tcPr>
          <w:p w14:paraId="03F956E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bl>
    <w:p w14:paraId="7D84667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1B4411D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1653EC4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4E015826">
      <w:pPr>
        <w:pStyle w:val="2"/>
        <w:rPr>
          <w:rFonts w:hint="eastAsia" w:ascii="宋体" w:hAnsi="宋体" w:eastAsia="宋体" w:cs="宋体"/>
          <w:color w:val="auto"/>
          <w:sz w:val="21"/>
          <w:szCs w:val="21"/>
          <w:highlight w:val="none"/>
        </w:rPr>
      </w:pPr>
    </w:p>
    <w:p w14:paraId="286ADDA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6446FAD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附表二：拟配备本工程的试验和检测仪器设备表</w:t>
      </w:r>
    </w:p>
    <w:tbl>
      <w:tblPr>
        <w:tblStyle w:val="11"/>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488"/>
        <w:gridCol w:w="896"/>
        <w:gridCol w:w="1192"/>
        <w:gridCol w:w="895"/>
        <w:gridCol w:w="895"/>
        <w:gridCol w:w="1487"/>
        <w:gridCol w:w="1192"/>
        <w:gridCol w:w="895"/>
      </w:tblGrid>
      <w:tr w14:paraId="4594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96" w:type="dxa"/>
            <w:noWrap w:val="0"/>
            <w:vAlign w:val="center"/>
          </w:tcPr>
          <w:p w14:paraId="4A6A83E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88" w:type="dxa"/>
            <w:noWrap w:val="0"/>
            <w:vAlign w:val="center"/>
          </w:tcPr>
          <w:p w14:paraId="5748294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仪器设备</w:t>
            </w:r>
          </w:p>
          <w:p w14:paraId="59739E3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896" w:type="dxa"/>
            <w:noWrap w:val="0"/>
            <w:vAlign w:val="center"/>
          </w:tcPr>
          <w:p w14:paraId="55AC60B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34431F0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1192" w:type="dxa"/>
            <w:noWrap w:val="0"/>
            <w:vAlign w:val="center"/>
          </w:tcPr>
          <w:p w14:paraId="13FDEC0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  量</w:t>
            </w:r>
          </w:p>
        </w:tc>
        <w:tc>
          <w:tcPr>
            <w:tcW w:w="895" w:type="dxa"/>
            <w:noWrap w:val="0"/>
            <w:vAlign w:val="center"/>
          </w:tcPr>
          <w:p w14:paraId="553BA0A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国别</w:t>
            </w:r>
          </w:p>
          <w:p w14:paraId="347DEE8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895" w:type="dxa"/>
            <w:noWrap w:val="0"/>
            <w:vAlign w:val="center"/>
          </w:tcPr>
          <w:p w14:paraId="2F80A64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w:t>
            </w:r>
          </w:p>
          <w:p w14:paraId="5A1680A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年份</w:t>
            </w:r>
          </w:p>
        </w:tc>
        <w:tc>
          <w:tcPr>
            <w:tcW w:w="1487" w:type="dxa"/>
            <w:noWrap w:val="0"/>
            <w:vAlign w:val="center"/>
          </w:tcPr>
          <w:p w14:paraId="4193A66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已使用</w:t>
            </w:r>
          </w:p>
          <w:p w14:paraId="6C8AB09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台时数</w:t>
            </w:r>
          </w:p>
        </w:tc>
        <w:tc>
          <w:tcPr>
            <w:tcW w:w="1192" w:type="dxa"/>
            <w:noWrap w:val="0"/>
            <w:vAlign w:val="center"/>
          </w:tcPr>
          <w:p w14:paraId="358A32F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  途</w:t>
            </w:r>
          </w:p>
        </w:tc>
        <w:tc>
          <w:tcPr>
            <w:tcW w:w="895" w:type="dxa"/>
            <w:noWrap w:val="0"/>
            <w:vAlign w:val="center"/>
          </w:tcPr>
          <w:p w14:paraId="4C21BE8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693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5BE6DB2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59BB8DF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5657393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64241DE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41AA18D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47D73E5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444B70A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05E940F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2C87DD4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78A0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663B583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3667D6C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4E4FE2F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53BE2E8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088E868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095B435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30F5BBB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2E8EEC1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5950980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34ED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396E554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0BEC598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5DDBFBD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08A53DC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0C9A2BB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276D8FB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7119AB8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157F734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162279F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34C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4274755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7BF44A0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278DF83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46DD062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2276991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49577F6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7E6E918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1F13AF3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41F0D07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781F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0909AFC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17582B4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7BEB7CE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3BC1410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3B2B584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4B12B70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6B76FFD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630F76F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59FAEF5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694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752E2AA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3DD57BE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0AA5B3B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03648E9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2CDA288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760DF3F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5047A20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06897EE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595674C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1CE0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2E6CAFC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2D28588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3553CA6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3B98949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6A8DDD0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4265963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00AA759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73E82D7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731C990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493C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3273DF9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59B5DDD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18CA824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3B27827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2B0EA70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57AAAEA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187E93C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07BC754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518FA88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7254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53F0D9A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187B8F2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48C6A1F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6C0C50F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6ABE05D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388EF81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083D9E6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2D2649E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6D89D5F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3E8A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0F3CC73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576262D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18603FA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1EB2D7A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6E2268C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4BC4D1C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3E34745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13E9787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57C1D9E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0D04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6D36847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37DC9AC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56C17AC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77F7910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3D1DB7E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3F95AF8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7716010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6022977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1696924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7BDB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4257B52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0D1ADD1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231E9C5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507F156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56FD086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001394B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2D61397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5410332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1ADB2DB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4E23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4961254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645BC1D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0C0C9F3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5A4F1AE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5845C3A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4A85D91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7690D7A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42B3EC6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3ACFA10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38F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67CEEE9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176FD6A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20D35B7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50B4653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2CB36CC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04C5F7E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5FBCEE1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5A1C135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632F9AB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E93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7AC0D23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64ACA33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4BE21E1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498CFC5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2CE3CB6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5E35765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0109560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428E7DD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72CF130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7F8D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51AA805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25E611C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205BDBE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79F9A51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1EF8380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5E94866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6B60518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5D96339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3483180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1CCF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0D10767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6A2D0E2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2EAF25A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4F810F7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744A5A4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0F57831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434B35C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530BBD5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7CC78D3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3CB2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764A188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7E9DA43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5FAFB11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3E02F93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12D73B5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6E10CA9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7E78DE5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38B02E2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20A164C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3D29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0BA15D1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4944556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105ECF2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4FAF345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1F31B6D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0375938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6E2EAC6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1F18FD1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32C4312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8C5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06CA9C4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3C08052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1957FFE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3059BB6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57407BE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2D61E16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75910DF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2B7C0B1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30F1141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186F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6764855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70C22D7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1B4A130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5A12365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41F3B62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7F7B2E0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60DF3FC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15FE421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2C85F61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92A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6" w:type="dxa"/>
            <w:noWrap w:val="0"/>
            <w:vAlign w:val="center"/>
          </w:tcPr>
          <w:p w14:paraId="56AB314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51BD98C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7BC6B2E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54ADD77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751E45A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384A204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671A6E6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2C1C609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366295C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3BF0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6" w:type="dxa"/>
            <w:noWrap w:val="0"/>
            <w:vAlign w:val="center"/>
          </w:tcPr>
          <w:p w14:paraId="7B765C8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8" w:type="dxa"/>
            <w:noWrap w:val="0"/>
            <w:vAlign w:val="center"/>
          </w:tcPr>
          <w:p w14:paraId="4795838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13A93D2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4896BD9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55085E6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7FE5BEA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87" w:type="dxa"/>
            <w:noWrap w:val="0"/>
            <w:vAlign w:val="center"/>
          </w:tcPr>
          <w:p w14:paraId="7A85074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92" w:type="dxa"/>
            <w:noWrap w:val="0"/>
            <w:vAlign w:val="center"/>
          </w:tcPr>
          <w:p w14:paraId="31A9929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5" w:type="dxa"/>
            <w:noWrap w:val="0"/>
            <w:vAlign w:val="center"/>
          </w:tcPr>
          <w:p w14:paraId="5402178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bl>
    <w:p w14:paraId="5AA059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53FE4EE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附表三：劳动力计划表</w:t>
      </w:r>
    </w:p>
    <w:p w14:paraId="264F67B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单位：人   </w:t>
      </w:r>
    </w:p>
    <w:tbl>
      <w:tblPr>
        <w:tblStyle w:val="11"/>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007"/>
        <w:gridCol w:w="1247"/>
        <w:gridCol w:w="1247"/>
        <w:gridCol w:w="1247"/>
        <w:gridCol w:w="1247"/>
        <w:gridCol w:w="1247"/>
        <w:gridCol w:w="1439"/>
      </w:tblGrid>
      <w:tr w14:paraId="730F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18" w:type="dxa"/>
            <w:noWrap w:val="0"/>
            <w:vAlign w:val="center"/>
          </w:tcPr>
          <w:p w14:paraId="342035E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工种</w:t>
            </w:r>
          </w:p>
        </w:tc>
        <w:tc>
          <w:tcPr>
            <w:tcW w:w="8681" w:type="dxa"/>
            <w:gridSpan w:val="7"/>
            <w:noWrap w:val="0"/>
            <w:vAlign w:val="center"/>
          </w:tcPr>
          <w:p w14:paraId="59364DC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按工程施工阶段投入劳动力情况</w:t>
            </w:r>
          </w:p>
        </w:tc>
      </w:tr>
      <w:tr w14:paraId="6AD5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780E342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1AC2BC4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2564A5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70C93A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C07FB1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A158A6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7EB2F9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5253D59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F96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0EC3B14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642A91F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BF2AC3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A288AF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1DAB9B5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26A117C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139206A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3653A2C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297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576CE6A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2BD2992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D2C25C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5F0FF1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E24E7D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3AD8467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D5CA07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6BCC96F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49E4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51EEA47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3F79F67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0A6E17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31AD691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E4C944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D6427E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102EDE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265D587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0C46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6FB4EE1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48ECA09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EC0216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6C62ED0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3B0715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692F668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9B2240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41EE3C9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E1D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4661574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03DFF24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6807E39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9925DD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AE26A7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524B67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2C5C7DE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05EC8EE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FD3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1948035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6D1393F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6DA6D1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D3186E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069FE3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A4C68E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BBFA6B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37AA0B7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44CA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35BA72C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1405565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25BD35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28C675F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D71C0A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362D087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1808748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1660EC3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283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4046AEB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0B5F577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3BF9C77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CBE1BF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095243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3B94F04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9DD694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28CD317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295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51CD70F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2F9ABDB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CBF3E4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E9ACDB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304F263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3091FAE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83A53D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7CA8C5E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74F4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04501D4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4ADB301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417DDD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DD5AEB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6ED15A4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BA71B8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CAEB9B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75113AA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A21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682566D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5651009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6BCA5AF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C772E6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5CEC01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2922CD4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2239F6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2043F21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068C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3BFE209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4F9A307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E604FA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3764544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1987223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85DCA6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2A296D0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5D8A5E6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E54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369EFF5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4EC4554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8B5E6D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BE740D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F5025E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53353E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4879E4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0A36AD6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6D7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6AA40ED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77C20D2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CB95ED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256A639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2D1EC5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0EA0EF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F75A44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47A80FD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4D3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58142B9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31628D8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DDC45A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6D2E66E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6C370BA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67931C8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368B58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1AA4CD4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75C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364FE93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5DFC4E5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38C90D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25AD5A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53D447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48F70C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6C448A5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2219DF4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D14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7084039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7A78203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5C0262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1261F0F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804958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81C8DA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6AA1F3C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688CF66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AC9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0822E1D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7535DC5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123197D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3A03DFA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211FD21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1079369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1BB18BE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6E4DA1F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7E5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103460F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17D72A1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F917D4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96C271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9C4C5B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16B4839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6C82E56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06A83CA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69F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6536920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3B2B2E4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64F614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3E9FF41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0863C6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3569ED7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07C3F8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4DE84BD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1D84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534A5A3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2F20E2A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B53E72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7BA098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2371C88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338F264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7DF908E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28E8AAD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0334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385EFFA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5E16D77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34BD178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89B375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1C6C543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335FBD9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6909A2C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54EE24C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271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8" w:type="dxa"/>
            <w:noWrap w:val="0"/>
            <w:vAlign w:val="center"/>
          </w:tcPr>
          <w:p w14:paraId="4431FA2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7FB4634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02F7295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14CEFBC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93CD9C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3CC7307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8B4883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2807D0A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75EB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18" w:type="dxa"/>
            <w:noWrap w:val="0"/>
            <w:vAlign w:val="center"/>
          </w:tcPr>
          <w:p w14:paraId="747688D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07" w:type="dxa"/>
            <w:noWrap w:val="0"/>
            <w:vAlign w:val="center"/>
          </w:tcPr>
          <w:p w14:paraId="358CA94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58CEA2D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F69A8B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1B23F7A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4AE88ED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47" w:type="dxa"/>
            <w:noWrap w:val="0"/>
            <w:vAlign w:val="center"/>
          </w:tcPr>
          <w:p w14:paraId="19D60CC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439" w:type="dxa"/>
            <w:noWrap w:val="0"/>
            <w:vAlign w:val="center"/>
          </w:tcPr>
          <w:p w14:paraId="00CB079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bl>
    <w:p w14:paraId="4B99ABD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493C9BA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附表四：计划开、竣工日期和施工进度网络图</w:t>
      </w:r>
    </w:p>
    <w:p w14:paraId="3B245D9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1．供应商应递交施工进度网络图或施工进度表，说明按磋商文件要求的计划工期进行施工的各个关键日期。</w:t>
      </w:r>
    </w:p>
    <w:p w14:paraId="23DAD8F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2．施工进度表可采用网络图和（或）横道图表示。</w:t>
      </w:r>
    </w:p>
    <w:p w14:paraId="4B82D2C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附表五：施工总平面图</w:t>
      </w:r>
    </w:p>
    <w:p w14:paraId="3F56E56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供应商应递交一份施工总平面图，绘出现场临时设施布置图表并附文字说明，说明临时设施、加工车间、现场办公、设备及仓储、供电、供水、卫生、生活、道路、消防等设施的情况和布置。</w:t>
      </w:r>
    </w:p>
    <w:p w14:paraId="6AB9493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附表六：临时用地表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2270"/>
        <w:gridCol w:w="2270"/>
        <w:gridCol w:w="2269"/>
      </w:tblGrid>
      <w:tr w14:paraId="0A6F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center"/>
          </w:tcPr>
          <w:p w14:paraId="3F3D1A6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  途</w:t>
            </w:r>
          </w:p>
        </w:tc>
        <w:tc>
          <w:tcPr>
            <w:tcW w:w="2270" w:type="dxa"/>
            <w:noWrap w:val="0"/>
            <w:vAlign w:val="center"/>
          </w:tcPr>
          <w:p w14:paraId="4624E37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 积（平方米）</w:t>
            </w:r>
          </w:p>
        </w:tc>
        <w:tc>
          <w:tcPr>
            <w:tcW w:w="2270" w:type="dxa"/>
            <w:noWrap w:val="0"/>
            <w:vAlign w:val="center"/>
          </w:tcPr>
          <w:p w14:paraId="31B83E5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位  置</w:t>
            </w:r>
          </w:p>
        </w:tc>
        <w:tc>
          <w:tcPr>
            <w:tcW w:w="2269" w:type="dxa"/>
            <w:noWrap w:val="0"/>
            <w:vAlign w:val="center"/>
          </w:tcPr>
          <w:p w14:paraId="1065E2B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需用时间</w:t>
            </w:r>
          </w:p>
        </w:tc>
      </w:tr>
      <w:tr w14:paraId="5EB3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0A38386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03FA7DD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5800A5C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2BE9624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6587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781F520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543AD96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6D71CF7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2CE95E0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0ED0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70CF6D2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2D5D8CC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0010A10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1D30F76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7AC2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237E954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5C3BDB4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12D34FC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669B879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0935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5D4F953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24332C8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5678FB2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18D6200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3919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23367C6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1A14D81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18180A6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50E25AF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2692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5E84FDF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5BE2957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37682B4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0391E77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1CAD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3633D73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5F43D8E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058FA44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43FE007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309E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71165BB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084DEEB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4B141F1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4A5A19A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3358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1AA33FF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04B3B88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39E7D6B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3F46486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182C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661732C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0CB2665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604E418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23F8C7C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49F5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142186B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5FDEF78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7971BC6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4D0CF02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0874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64F454A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1CFE543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6C4749B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5F08BD7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1FD1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0A44DE4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064F2CD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63D005A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3232FEB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3EC9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77067FE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577673C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70FF7DA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4C59829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0573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30843F9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43B616C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101A056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3369086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2ED6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35295B2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527AD1A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502C058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55AE14F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7F8F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21C6BF6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10E95B8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59B1607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5292CF6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5F6A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43A1E34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5C7530A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28E813C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21257DC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0D4B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63EFC6B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4BD8C35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6445B8E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7D2CDD8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5A9A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356D6B5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3F50A01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04819C1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19E3AB1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61EC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4306CB8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764E29D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71340E5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6815805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52D5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1CF0059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3BAD95A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5BE973D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425CF6E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7FBA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34A729F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65B8BA4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5044834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13E26E8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4680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6FD2C7B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4BBDFDE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2B384ED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1F073A4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1448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1426E21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2FF1310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7F9504F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23FF7FC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620E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1333E42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4F9ED05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6A987E5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4F7151E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r w14:paraId="57CE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7" w:type="dxa"/>
            <w:noWrap w:val="0"/>
            <w:vAlign w:val="top"/>
          </w:tcPr>
          <w:p w14:paraId="1E7F32B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2AB29DA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70" w:type="dxa"/>
            <w:noWrap w:val="0"/>
            <w:vAlign w:val="top"/>
          </w:tcPr>
          <w:p w14:paraId="31CA0AC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c>
          <w:tcPr>
            <w:tcW w:w="2269" w:type="dxa"/>
            <w:noWrap w:val="0"/>
            <w:vAlign w:val="top"/>
          </w:tcPr>
          <w:p w14:paraId="635BEE4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tc>
      </w:tr>
    </w:tbl>
    <w:p w14:paraId="7C4042CD">
      <w:pPr>
        <w:pStyle w:val="4"/>
        <w:keepNext w:val="0"/>
        <w:keepLines w:val="0"/>
        <w:pageBreakBefore w:val="0"/>
        <w:widowControl w:val="0"/>
        <w:kinsoku/>
        <w:wordWrap w:val="0"/>
        <w:overflowPunct/>
        <w:topLinePunct w:val="0"/>
        <w:autoSpaceDE/>
        <w:autoSpaceDN/>
        <w:bidi w:val="0"/>
        <w:adjustRightInd w:val="0"/>
        <w:snapToGrid w:val="0"/>
        <w:spacing w:before="0" w:after="0" w:line="360" w:lineRule="auto"/>
        <w:ind w:left="0" w:leftChars="0" w:right="0" w:firstLine="0" w:firstLineChars="0"/>
        <w:jc w:val="center"/>
        <w:outlineLvl w:val="0"/>
        <w:rPr>
          <w:rFonts w:hint="eastAsia" w:ascii="宋体" w:hAnsi="宋体" w:eastAsia="宋体" w:cs="宋体"/>
          <w:color w:val="auto"/>
          <w:sz w:val="32"/>
          <w:szCs w:val="32"/>
          <w:highlight w:val="none"/>
          <w:lang w:val="en-US" w:eastAsia="zh-CN"/>
        </w:rPr>
      </w:pPr>
    </w:p>
    <w:p w14:paraId="5899BC80">
      <w:pPr>
        <w:pStyle w:val="4"/>
        <w:keepNext w:val="0"/>
        <w:keepLines w:val="0"/>
        <w:pageBreakBefore w:val="0"/>
        <w:widowControl w:val="0"/>
        <w:kinsoku/>
        <w:wordWrap w:val="0"/>
        <w:overflowPunct/>
        <w:topLinePunct w:val="0"/>
        <w:autoSpaceDE/>
        <w:autoSpaceDN/>
        <w:bidi w:val="0"/>
        <w:adjustRightInd w:val="0"/>
        <w:snapToGrid w:val="0"/>
        <w:spacing w:before="0" w:after="0" w:line="360" w:lineRule="auto"/>
        <w:ind w:left="0" w:leftChars="0" w:right="0" w:firstLine="0" w:firstLineChars="0"/>
        <w:jc w:val="center"/>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五</w:t>
      </w:r>
      <w:r>
        <w:rPr>
          <w:rFonts w:hint="eastAsia" w:ascii="宋体" w:hAnsi="宋体" w:eastAsia="宋体" w:cs="宋体"/>
          <w:color w:val="auto"/>
          <w:sz w:val="32"/>
          <w:szCs w:val="32"/>
          <w:highlight w:val="none"/>
        </w:rPr>
        <w:t>、项目管理机构</w:t>
      </w:r>
    </w:p>
    <w:p w14:paraId="78F08B0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（一）项目管理机构组成表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06"/>
        <w:gridCol w:w="806"/>
        <w:gridCol w:w="1291"/>
        <w:gridCol w:w="876"/>
        <w:gridCol w:w="896"/>
        <w:gridCol w:w="968"/>
        <w:gridCol w:w="2422"/>
        <w:gridCol w:w="805"/>
      </w:tblGrid>
      <w:tr w14:paraId="223D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vMerge w:val="restart"/>
            <w:noWrap w:val="0"/>
            <w:vAlign w:val="center"/>
          </w:tcPr>
          <w:p w14:paraId="4B61AA8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806" w:type="dxa"/>
            <w:vMerge w:val="restart"/>
            <w:noWrap w:val="0"/>
            <w:vAlign w:val="center"/>
          </w:tcPr>
          <w:p w14:paraId="0334B65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806" w:type="dxa"/>
            <w:vMerge w:val="restart"/>
            <w:noWrap w:val="0"/>
            <w:vAlign w:val="center"/>
          </w:tcPr>
          <w:p w14:paraId="14558D2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6453" w:type="dxa"/>
            <w:gridSpan w:val="5"/>
            <w:noWrap w:val="0"/>
            <w:vAlign w:val="center"/>
          </w:tcPr>
          <w:p w14:paraId="19D967F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执业或职业资格证明</w:t>
            </w:r>
          </w:p>
        </w:tc>
        <w:tc>
          <w:tcPr>
            <w:tcW w:w="805" w:type="dxa"/>
            <w:vMerge w:val="restart"/>
            <w:noWrap w:val="0"/>
            <w:vAlign w:val="center"/>
          </w:tcPr>
          <w:p w14:paraId="4FF99CA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2BB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vMerge w:val="continue"/>
            <w:noWrap w:val="0"/>
            <w:vAlign w:val="center"/>
          </w:tcPr>
          <w:p w14:paraId="40476AA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vMerge w:val="continue"/>
            <w:noWrap w:val="0"/>
            <w:vAlign w:val="center"/>
          </w:tcPr>
          <w:p w14:paraId="5F695E2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vMerge w:val="continue"/>
            <w:noWrap w:val="0"/>
            <w:vAlign w:val="center"/>
          </w:tcPr>
          <w:p w14:paraId="5619943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675D70A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证书名称</w:t>
            </w:r>
          </w:p>
        </w:tc>
        <w:tc>
          <w:tcPr>
            <w:tcW w:w="876" w:type="dxa"/>
            <w:noWrap w:val="0"/>
            <w:vAlign w:val="center"/>
          </w:tcPr>
          <w:p w14:paraId="27BF474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级别</w:t>
            </w:r>
          </w:p>
        </w:tc>
        <w:tc>
          <w:tcPr>
            <w:tcW w:w="896" w:type="dxa"/>
            <w:noWrap w:val="0"/>
            <w:vAlign w:val="center"/>
          </w:tcPr>
          <w:p w14:paraId="422D24C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证号</w:t>
            </w:r>
          </w:p>
        </w:tc>
        <w:tc>
          <w:tcPr>
            <w:tcW w:w="968" w:type="dxa"/>
            <w:noWrap w:val="0"/>
            <w:vAlign w:val="center"/>
          </w:tcPr>
          <w:p w14:paraId="66C3783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2422" w:type="dxa"/>
            <w:noWrap w:val="0"/>
            <w:vAlign w:val="center"/>
          </w:tcPr>
          <w:p w14:paraId="25A6152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养老保险</w:t>
            </w:r>
          </w:p>
        </w:tc>
        <w:tc>
          <w:tcPr>
            <w:tcW w:w="805" w:type="dxa"/>
            <w:vMerge w:val="continue"/>
            <w:noWrap w:val="0"/>
            <w:vAlign w:val="center"/>
          </w:tcPr>
          <w:p w14:paraId="3173CDA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DB5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17CF466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62E36FD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6EC0DBB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5897CAB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6051668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65B205C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7F179D0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5E4F79F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6ACE4E1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687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62DBB23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65D4EB9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343544C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1E22FAB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0E880A0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68D1953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51AFA23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038A625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54E5AF7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7E88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573DFAB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14D8D6F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525AF9B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7C2B383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723CBCF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5104DA9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17248C6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538C839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39BE308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39C9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2957A0B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76E4948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4E4C5BC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36376F2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0CD2FCE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23107C9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4BFA8EA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7F72724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4166598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E57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5074A5D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39F93E2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019B279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5220111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47EBA3F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545FA51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424F843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111C004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7892A26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EA2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001C8D9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6EEAA8A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5F1EF0E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52F421E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49F3D69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3EDAAF5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4653BF8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29CF736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54D1E2F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31B2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4F04477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7DB77A6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08845E6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287F076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399FCA1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0F36BA7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4845760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346D90D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640A40D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AF8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2D64131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04F34C0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426C589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35BA245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4C72552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0ADA58A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5067141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0C9A04F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37D9924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13FC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1B34967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06A981F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4D96AE0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1100809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39AD8DF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34EBBE8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5CFB9F9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419967B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2142860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78E2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2B68B41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136B5E5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0AFD215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395B8AD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4D7E4F4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6F1FB6B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77C74EF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2C6D289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00F6633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0544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25A34ED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448B714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6B705E2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0CDBE9E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46E1016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133C3E6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7860091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3467354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4B74522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119A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02B0F14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7945CD1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3534A0A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5E07B30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34E4634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41245CD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4B7DC48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2CA5CDA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23EFA07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4CD3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208634F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3F981BC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354F77E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0DCCB15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44A8EF4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32C1B80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6F717AF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1086BE3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13A77D9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4821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2082AE0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4B1CBD4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5E78F6C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2B7C264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7A55A3D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026FB4A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4418FF7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5B5B227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358DC87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A26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23D298B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7F10198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0440690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2886A38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2E19DA1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0970515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0D9420A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4F95EDF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1937840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3619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0FA064C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5823497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2088F6C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613C437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03950BC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2DF533B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21EA1AE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4951DEC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4D20EAC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1961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245C231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1A0D7A7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2B0ED47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6105D56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75DF154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6B2F069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4E5D1DC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1DB1D66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36C8129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AAA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731B76E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6EA3CAF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01516DD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570E22D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18E187F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7C3B44C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2E2443D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5C61CBA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4FBF7FE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4D18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29DFC6B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296C09C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2211D2E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261671F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03FF1C3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57F7205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6344F08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4B5E885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23090C1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3409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3C3B5DA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5566EE6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41FE0D7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6B25A66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5744006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12302E0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4C095C4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16443E9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6B629AB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9D4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22D8F28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35E2B67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6876E75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2F6E7A3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0E9BA24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7F0181D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7DD680E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03194D4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3B3A793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1C34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center"/>
          </w:tcPr>
          <w:p w14:paraId="649AFE1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1840F8C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670784D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091E3F2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34614DC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06D33BB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6A57BA0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6E9DAB1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588E7BF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151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06" w:type="dxa"/>
            <w:noWrap w:val="0"/>
            <w:vAlign w:val="center"/>
          </w:tcPr>
          <w:p w14:paraId="21352BC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69EC559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6" w:type="dxa"/>
            <w:noWrap w:val="0"/>
            <w:vAlign w:val="center"/>
          </w:tcPr>
          <w:p w14:paraId="5D829E7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91" w:type="dxa"/>
            <w:noWrap w:val="0"/>
            <w:vAlign w:val="center"/>
          </w:tcPr>
          <w:p w14:paraId="1511FA4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76" w:type="dxa"/>
            <w:noWrap w:val="0"/>
            <w:vAlign w:val="center"/>
          </w:tcPr>
          <w:p w14:paraId="59CD378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96" w:type="dxa"/>
            <w:noWrap w:val="0"/>
            <w:vAlign w:val="center"/>
          </w:tcPr>
          <w:p w14:paraId="2536798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8" w:type="dxa"/>
            <w:noWrap w:val="0"/>
            <w:vAlign w:val="center"/>
          </w:tcPr>
          <w:p w14:paraId="2181961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422" w:type="dxa"/>
            <w:noWrap w:val="0"/>
            <w:vAlign w:val="center"/>
          </w:tcPr>
          <w:p w14:paraId="26CC5C7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805" w:type="dxa"/>
            <w:noWrap w:val="0"/>
            <w:vAlign w:val="center"/>
          </w:tcPr>
          <w:p w14:paraId="65AD9B5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bl>
    <w:p w14:paraId="25C23952">
      <w:pPr>
        <w:pStyle w:val="2"/>
        <w:rPr>
          <w:rFonts w:hint="eastAsia" w:ascii="宋体" w:hAnsi="宋体" w:eastAsia="宋体" w:cs="宋体"/>
          <w:color w:val="auto"/>
          <w:highlight w:val="none"/>
        </w:rPr>
      </w:pPr>
    </w:p>
    <w:p w14:paraId="085FE740">
      <w:pPr>
        <w:rPr>
          <w:rFonts w:hint="eastAsia" w:ascii="宋体" w:hAnsi="宋体" w:eastAsia="宋体" w:cs="宋体"/>
          <w:color w:val="auto"/>
          <w:highlight w:val="none"/>
        </w:rPr>
      </w:pPr>
    </w:p>
    <w:p w14:paraId="3741FF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（二）主要人员简历表</w:t>
      </w:r>
    </w:p>
    <w:p w14:paraId="5339D8B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附1：项目经理简历表</w:t>
      </w:r>
    </w:p>
    <w:p w14:paraId="575197B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项目负责人）应附建造师执业资格证书、安全生产考核合格证书、身份证、毕业证及未担任其他在施建设工程项目项目经理的承诺书，管理过的项目业绩须附合同协议书和竣工验收备案登记表复印件。类似项目限于以项目经理身份参与的项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129"/>
        <w:gridCol w:w="1239"/>
        <w:gridCol w:w="1393"/>
        <w:gridCol w:w="2011"/>
        <w:gridCol w:w="2322"/>
      </w:tblGrid>
      <w:tr w14:paraId="6626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noWrap w:val="0"/>
            <w:vAlign w:val="center"/>
          </w:tcPr>
          <w:p w14:paraId="45649AB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p>
        </w:tc>
        <w:tc>
          <w:tcPr>
            <w:tcW w:w="1129" w:type="dxa"/>
            <w:noWrap w:val="0"/>
            <w:vAlign w:val="center"/>
          </w:tcPr>
          <w:p w14:paraId="1A911A6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39" w:type="dxa"/>
            <w:noWrap w:val="0"/>
            <w:vAlign w:val="center"/>
          </w:tcPr>
          <w:p w14:paraId="1E09426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龄</w:t>
            </w:r>
          </w:p>
        </w:tc>
        <w:tc>
          <w:tcPr>
            <w:tcW w:w="1393" w:type="dxa"/>
            <w:noWrap w:val="0"/>
            <w:vAlign w:val="center"/>
          </w:tcPr>
          <w:p w14:paraId="75BCC3B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011" w:type="dxa"/>
            <w:noWrap w:val="0"/>
            <w:vAlign w:val="center"/>
          </w:tcPr>
          <w:p w14:paraId="5BB5033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322" w:type="dxa"/>
            <w:noWrap w:val="0"/>
            <w:vAlign w:val="center"/>
          </w:tcPr>
          <w:p w14:paraId="32A6575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44CA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noWrap w:val="0"/>
            <w:vAlign w:val="center"/>
          </w:tcPr>
          <w:p w14:paraId="2F13F66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称</w:t>
            </w:r>
          </w:p>
        </w:tc>
        <w:tc>
          <w:tcPr>
            <w:tcW w:w="1129" w:type="dxa"/>
            <w:noWrap w:val="0"/>
            <w:vAlign w:val="center"/>
          </w:tcPr>
          <w:p w14:paraId="19402AD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39" w:type="dxa"/>
            <w:noWrap w:val="0"/>
            <w:vAlign w:val="center"/>
          </w:tcPr>
          <w:p w14:paraId="6ADF622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p>
        </w:tc>
        <w:tc>
          <w:tcPr>
            <w:tcW w:w="1393" w:type="dxa"/>
            <w:noWrap w:val="0"/>
            <w:vAlign w:val="center"/>
          </w:tcPr>
          <w:p w14:paraId="13F86C3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011" w:type="dxa"/>
            <w:noWrap w:val="0"/>
            <w:vAlign w:val="center"/>
          </w:tcPr>
          <w:p w14:paraId="741E104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拟在本工程任职</w:t>
            </w:r>
          </w:p>
        </w:tc>
        <w:tc>
          <w:tcPr>
            <w:tcW w:w="2322" w:type="dxa"/>
            <w:noWrap w:val="0"/>
            <w:vAlign w:val="center"/>
          </w:tcPr>
          <w:p w14:paraId="61A9372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r>
      <w:tr w14:paraId="2170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0" w:type="dxa"/>
            <w:gridSpan w:val="3"/>
            <w:noWrap w:val="0"/>
            <w:vAlign w:val="center"/>
          </w:tcPr>
          <w:p w14:paraId="0E81AAF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w:t>
            </w:r>
          </w:p>
        </w:tc>
        <w:tc>
          <w:tcPr>
            <w:tcW w:w="1393" w:type="dxa"/>
            <w:noWrap w:val="0"/>
            <w:vAlign w:val="center"/>
          </w:tcPr>
          <w:p w14:paraId="5D70D36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级</w:t>
            </w:r>
          </w:p>
        </w:tc>
        <w:tc>
          <w:tcPr>
            <w:tcW w:w="2011" w:type="dxa"/>
            <w:noWrap w:val="0"/>
            <w:vAlign w:val="center"/>
          </w:tcPr>
          <w:p w14:paraId="4EEA7EB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建造师专业</w:t>
            </w:r>
          </w:p>
        </w:tc>
        <w:tc>
          <w:tcPr>
            <w:tcW w:w="2322" w:type="dxa"/>
            <w:noWrap w:val="0"/>
            <w:vAlign w:val="center"/>
          </w:tcPr>
          <w:p w14:paraId="275BE5F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42C1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0" w:type="dxa"/>
            <w:gridSpan w:val="3"/>
            <w:noWrap w:val="0"/>
            <w:vAlign w:val="center"/>
          </w:tcPr>
          <w:p w14:paraId="1AA5B4D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w:t>
            </w:r>
          </w:p>
        </w:tc>
        <w:tc>
          <w:tcPr>
            <w:tcW w:w="5726" w:type="dxa"/>
            <w:gridSpan w:val="3"/>
            <w:noWrap w:val="0"/>
            <w:vAlign w:val="center"/>
          </w:tcPr>
          <w:p w14:paraId="76393E3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0162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noWrap w:val="0"/>
            <w:vAlign w:val="center"/>
          </w:tcPr>
          <w:p w14:paraId="5409339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w:t>
            </w:r>
          </w:p>
        </w:tc>
        <w:tc>
          <w:tcPr>
            <w:tcW w:w="8094" w:type="dxa"/>
            <w:gridSpan w:val="5"/>
            <w:noWrap w:val="0"/>
            <w:vAlign w:val="center"/>
          </w:tcPr>
          <w:p w14:paraId="443C150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年毕业于                  学校            专业</w:t>
            </w:r>
          </w:p>
        </w:tc>
      </w:tr>
      <w:tr w14:paraId="710E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6" w:type="dxa"/>
            <w:gridSpan w:val="6"/>
            <w:noWrap w:val="0"/>
            <w:vAlign w:val="center"/>
          </w:tcPr>
          <w:p w14:paraId="605FB8F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主要工作经历</w:t>
            </w:r>
          </w:p>
        </w:tc>
      </w:tr>
      <w:tr w14:paraId="5254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noWrap w:val="0"/>
            <w:vAlign w:val="center"/>
          </w:tcPr>
          <w:p w14:paraId="47F464E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  间</w:t>
            </w:r>
          </w:p>
        </w:tc>
        <w:tc>
          <w:tcPr>
            <w:tcW w:w="3761" w:type="dxa"/>
            <w:gridSpan w:val="3"/>
            <w:noWrap w:val="0"/>
            <w:vAlign w:val="center"/>
          </w:tcPr>
          <w:p w14:paraId="04C966E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参加过的类似项目名称</w:t>
            </w:r>
          </w:p>
        </w:tc>
        <w:tc>
          <w:tcPr>
            <w:tcW w:w="2011" w:type="dxa"/>
            <w:noWrap w:val="0"/>
            <w:vAlign w:val="center"/>
          </w:tcPr>
          <w:p w14:paraId="635ABBD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工程概况说明</w:t>
            </w:r>
          </w:p>
        </w:tc>
        <w:tc>
          <w:tcPr>
            <w:tcW w:w="2322" w:type="dxa"/>
            <w:noWrap w:val="0"/>
            <w:vAlign w:val="center"/>
          </w:tcPr>
          <w:p w14:paraId="60BBB4C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发包人及联系电话</w:t>
            </w:r>
          </w:p>
        </w:tc>
      </w:tr>
      <w:tr w14:paraId="07F8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14:paraId="060B2C3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29" w:type="dxa"/>
            <w:noWrap w:val="0"/>
            <w:vAlign w:val="center"/>
          </w:tcPr>
          <w:p w14:paraId="601CB16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39" w:type="dxa"/>
            <w:noWrap w:val="0"/>
            <w:vAlign w:val="center"/>
          </w:tcPr>
          <w:p w14:paraId="1344EB6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3" w:type="dxa"/>
            <w:noWrap w:val="0"/>
            <w:vAlign w:val="center"/>
          </w:tcPr>
          <w:p w14:paraId="183F79B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011" w:type="dxa"/>
            <w:noWrap w:val="0"/>
            <w:vAlign w:val="center"/>
          </w:tcPr>
          <w:p w14:paraId="72BC65E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322" w:type="dxa"/>
            <w:noWrap w:val="0"/>
            <w:vAlign w:val="center"/>
          </w:tcPr>
          <w:p w14:paraId="1BD2E81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1893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14:paraId="7BB11ED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29" w:type="dxa"/>
            <w:noWrap w:val="0"/>
            <w:vAlign w:val="center"/>
          </w:tcPr>
          <w:p w14:paraId="1FDE8AF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39" w:type="dxa"/>
            <w:noWrap w:val="0"/>
            <w:vAlign w:val="center"/>
          </w:tcPr>
          <w:p w14:paraId="71EC363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3" w:type="dxa"/>
            <w:noWrap w:val="0"/>
            <w:vAlign w:val="center"/>
          </w:tcPr>
          <w:p w14:paraId="61CD00E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011" w:type="dxa"/>
            <w:noWrap w:val="0"/>
            <w:vAlign w:val="center"/>
          </w:tcPr>
          <w:p w14:paraId="1CAF604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322" w:type="dxa"/>
            <w:noWrap w:val="0"/>
            <w:vAlign w:val="center"/>
          </w:tcPr>
          <w:p w14:paraId="3DD1204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2DE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14:paraId="4CDEAB4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29" w:type="dxa"/>
            <w:noWrap w:val="0"/>
            <w:vAlign w:val="center"/>
          </w:tcPr>
          <w:p w14:paraId="1C24667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39" w:type="dxa"/>
            <w:noWrap w:val="0"/>
            <w:vAlign w:val="center"/>
          </w:tcPr>
          <w:p w14:paraId="4DFB282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3" w:type="dxa"/>
            <w:noWrap w:val="0"/>
            <w:vAlign w:val="center"/>
          </w:tcPr>
          <w:p w14:paraId="0F4B1E0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011" w:type="dxa"/>
            <w:noWrap w:val="0"/>
            <w:vAlign w:val="center"/>
          </w:tcPr>
          <w:p w14:paraId="37C00A5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322" w:type="dxa"/>
            <w:noWrap w:val="0"/>
            <w:vAlign w:val="center"/>
          </w:tcPr>
          <w:p w14:paraId="4CC20E0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21B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14:paraId="5A069ED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29" w:type="dxa"/>
            <w:noWrap w:val="0"/>
            <w:vAlign w:val="center"/>
          </w:tcPr>
          <w:p w14:paraId="257FE93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39" w:type="dxa"/>
            <w:noWrap w:val="0"/>
            <w:vAlign w:val="center"/>
          </w:tcPr>
          <w:p w14:paraId="726D0EE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3" w:type="dxa"/>
            <w:noWrap w:val="0"/>
            <w:vAlign w:val="center"/>
          </w:tcPr>
          <w:p w14:paraId="194F191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011" w:type="dxa"/>
            <w:noWrap w:val="0"/>
            <w:vAlign w:val="center"/>
          </w:tcPr>
          <w:p w14:paraId="278D92E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322" w:type="dxa"/>
            <w:noWrap w:val="0"/>
            <w:vAlign w:val="center"/>
          </w:tcPr>
          <w:p w14:paraId="373EDCC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BCD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14:paraId="3C999D1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29" w:type="dxa"/>
            <w:noWrap w:val="0"/>
            <w:vAlign w:val="center"/>
          </w:tcPr>
          <w:p w14:paraId="001CD22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39" w:type="dxa"/>
            <w:noWrap w:val="0"/>
            <w:vAlign w:val="center"/>
          </w:tcPr>
          <w:p w14:paraId="76BE087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3" w:type="dxa"/>
            <w:noWrap w:val="0"/>
            <w:vAlign w:val="center"/>
          </w:tcPr>
          <w:p w14:paraId="50487C5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011" w:type="dxa"/>
            <w:noWrap w:val="0"/>
            <w:vAlign w:val="center"/>
          </w:tcPr>
          <w:p w14:paraId="776DD14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322" w:type="dxa"/>
            <w:noWrap w:val="0"/>
            <w:vAlign w:val="center"/>
          </w:tcPr>
          <w:p w14:paraId="0D80DC5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32D7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14:paraId="39C3D45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29" w:type="dxa"/>
            <w:noWrap w:val="0"/>
            <w:vAlign w:val="center"/>
          </w:tcPr>
          <w:p w14:paraId="2142F46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39" w:type="dxa"/>
            <w:noWrap w:val="0"/>
            <w:vAlign w:val="center"/>
          </w:tcPr>
          <w:p w14:paraId="0AB8534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3" w:type="dxa"/>
            <w:noWrap w:val="0"/>
            <w:vAlign w:val="center"/>
          </w:tcPr>
          <w:p w14:paraId="7778BB4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011" w:type="dxa"/>
            <w:noWrap w:val="0"/>
            <w:vAlign w:val="center"/>
          </w:tcPr>
          <w:p w14:paraId="418A70F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322" w:type="dxa"/>
            <w:noWrap w:val="0"/>
            <w:vAlign w:val="center"/>
          </w:tcPr>
          <w:p w14:paraId="7A76AE5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86B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14:paraId="04D6A96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29" w:type="dxa"/>
            <w:noWrap w:val="0"/>
            <w:vAlign w:val="center"/>
          </w:tcPr>
          <w:p w14:paraId="7B8DB2D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39" w:type="dxa"/>
            <w:noWrap w:val="0"/>
            <w:vAlign w:val="center"/>
          </w:tcPr>
          <w:p w14:paraId="3BC1F48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3" w:type="dxa"/>
            <w:noWrap w:val="0"/>
            <w:vAlign w:val="center"/>
          </w:tcPr>
          <w:p w14:paraId="2D07D6B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011" w:type="dxa"/>
            <w:noWrap w:val="0"/>
            <w:vAlign w:val="center"/>
          </w:tcPr>
          <w:p w14:paraId="1CCC96F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322" w:type="dxa"/>
            <w:noWrap w:val="0"/>
            <w:vAlign w:val="center"/>
          </w:tcPr>
          <w:p w14:paraId="11864CA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19C3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14:paraId="1D936C5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29" w:type="dxa"/>
            <w:noWrap w:val="0"/>
            <w:vAlign w:val="center"/>
          </w:tcPr>
          <w:p w14:paraId="296A963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39" w:type="dxa"/>
            <w:noWrap w:val="0"/>
            <w:vAlign w:val="center"/>
          </w:tcPr>
          <w:p w14:paraId="6540D38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3" w:type="dxa"/>
            <w:noWrap w:val="0"/>
            <w:vAlign w:val="center"/>
          </w:tcPr>
          <w:p w14:paraId="22489DC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011" w:type="dxa"/>
            <w:noWrap w:val="0"/>
            <w:vAlign w:val="center"/>
          </w:tcPr>
          <w:p w14:paraId="464531B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322" w:type="dxa"/>
            <w:noWrap w:val="0"/>
            <w:vAlign w:val="center"/>
          </w:tcPr>
          <w:p w14:paraId="647FD4A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7202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14:paraId="7D7BBCE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29" w:type="dxa"/>
            <w:noWrap w:val="0"/>
            <w:vAlign w:val="center"/>
          </w:tcPr>
          <w:p w14:paraId="1880232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39" w:type="dxa"/>
            <w:noWrap w:val="0"/>
            <w:vAlign w:val="center"/>
          </w:tcPr>
          <w:p w14:paraId="4DCB29A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3" w:type="dxa"/>
            <w:noWrap w:val="0"/>
            <w:vAlign w:val="center"/>
          </w:tcPr>
          <w:p w14:paraId="115F29C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011" w:type="dxa"/>
            <w:noWrap w:val="0"/>
            <w:vAlign w:val="center"/>
          </w:tcPr>
          <w:p w14:paraId="477AA84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322" w:type="dxa"/>
            <w:noWrap w:val="0"/>
            <w:vAlign w:val="center"/>
          </w:tcPr>
          <w:p w14:paraId="1B06A83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475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14:paraId="52841A0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29" w:type="dxa"/>
            <w:noWrap w:val="0"/>
            <w:vAlign w:val="center"/>
          </w:tcPr>
          <w:p w14:paraId="775EA84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39" w:type="dxa"/>
            <w:noWrap w:val="0"/>
            <w:vAlign w:val="center"/>
          </w:tcPr>
          <w:p w14:paraId="4F9D099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3" w:type="dxa"/>
            <w:noWrap w:val="0"/>
            <w:vAlign w:val="center"/>
          </w:tcPr>
          <w:p w14:paraId="72C2E67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011" w:type="dxa"/>
            <w:noWrap w:val="0"/>
            <w:vAlign w:val="center"/>
          </w:tcPr>
          <w:p w14:paraId="6BA1D01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322" w:type="dxa"/>
            <w:noWrap w:val="0"/>
            <w:vAlign w:val="center"/>
          </w:tcPr>
          <w:p w14:paraId="21AFF3C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bl>
    <w:p w14:paraId="06982EA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696ED73E">
      <w:pPr>
        <w:keepNext w:val="0"/>
        <w:keepLines w:val="0"/>
        <w:pageBreakBefore w:val="0"/>
        <w:widowControl w:val="0"/>
        <w:kinsoku/>
        <w:wordWrap w:val="0"/>
        <w:overflowPunct/>
        <w:topLinePunct w:val="0"/>
        <w:autoSpaceDE/>
        <w:autoSpaceDN/>
        <w:bidi w:val="0"/>
        <w:adjustRightInd w:val="0"/>
        <w:snapToGrid w:val="0"/>
        <w:spacing w:line="360" w:lineRule="auto"/>
        <w:ind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附2：主要项目管理人员简历表</w:t>
      </w:r>
    </w:p>
    <w:p w14:paraId="36776AD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应附项目管理班子下列人员的相关证书、身份证及毕业证复印件： </w:t>
      </w:r>
    </w:p>
    <w:p w14:paraId="24912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项目技术负责人职称证书、关键岗位人员（主要包括：质检（量）员、安全员、材料员、预算（造价）员、资料员）岗位证书。</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060"/>
        <w:gridCol w:w="1260"/>
        <w:gridCol w:w="3058"/>
      </w:tblGrid>
      <w:tr w14:paraId="691E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center"/>
          </w:tcPr>
          <w:p w14:paraId="4C8F499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岗位名称</w:t>
            </w:r>
          </w:p>
        </w:tc>
        <w:tc>
          <w:tcPr>
            <w:tcW w:w="7378" w:type="dxa"/>
            <w:gridSpan w:val="3"/>
            <w:noWrap w:val="0"/>
            <w:vAlign w:val="center"/>
          </w:tcPr>
          <w:p w14:paraId="6ACB6C7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6FB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center"/>
          </w:tcPr>
          <w:p w14:paraId="76C0208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p>
        </w:tc>
        <w:tc>
          <w:tcPr>
            <w:tcW w:w="3060" w:type="dxa"/>
            <w:noWrap w:val="0"/>
            <w:vAlign w:val="center"/>
          </w:tcPr>
          <w:p w14:paraId="4F6A944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60" w:type="dxa"/>
            <w:noWrap w:val="0"/>
            <w:vAlign w:val="center"/>
          </w:tcPr>
          <w:p w14:paraId="71A5E845">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龄</w:t>
            </w:r>
          </w:p>
        </w:tc>
        <w:tc>
          <w:tcPr>
            <w:tcW w:w="3058" w:type="dxa"/>
            <w:noWrap w:val="0"/>
            <w:vAlign w:val="center"/>
          </w:tcPr>
          <w:p w14:paraId="52FA218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7AD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center"/>
          </w:tcPr>
          <w:p w14:paraId="6614F22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    别</w:t>
            </w:r>
          </w:p>
        </w:tc>
        <w:tc>
          <w:tcPr>
            <w:tcW w:w="3060" w:type="dxa"/>
            <w:noWrap w:val="0"/>
            <w:vAlign w:val="center"/>
          </w:tcPr>
          <w:p w14:paraId="1AD93CD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60" w:type="dxa"/>
            <w:noWrap w:val="0"/>
            <w:vAlign w:val="center"/>
          </w:tcPr>
          <w:p w14:paraId="5AB4619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w:t>
            </w:r>
          </w:p>
        </w:tc>
        <w:tc>
          <w:tcPr>
            <w:tcW w:w="3058" w:type="dxa"/>
            <w:noWrap w:val="0"/>
            <w:vAlign w:val="center"/>
          </w:tcPr>
          <w:p w14:paraId="5C6588A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0882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center"/>
          </w:tcPr>
          <w:p w14:paraId="4A58EE3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学历和专业</w:t>
            </w:r>
          </w:p>
        </w:tc>
        <w:tc>
          <w:tcPr>
            <w:tcW w:w="3060" w:type="dxa"/>
            <w:noWrap w:val="0"/>
            <w:vAlign w:val="center"/>
          </w:tcPr>
          <w:p w14:paraId="5F48FB4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60" w:type="dxa"/>
            <w:noWrap w:val="0"/>
            <w:vAlign w:val="center"/>
          </w:tcPr>
          <w:p w14:paraId="3CB9A15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毕业时间</w:t>
            </w:r>
          </w:p>
        </w:tc>
        <w:tc>
          <w:tcPr>
            <w:tcW w:w="3058" w:type="dxa"/>
            <w:noWrap w:val="0"/>
            <w:vAlign w:val="center"/>
          </w:tcPr>
          <w:p w14:paraId="36F9111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475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center"/>
          </w:tcPr>
          <w:p w14:paraId="54E1C00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拥有的执业资格</w:t>
            </w:r>
          </w:p>
        </w:tc>
        <w:tc>
          <w:tcPr>
            <w:tcW w:w="3060" w:type="dxa"/>
            <w:noWrap w:val="0"/>
            <w:vAlign w:val="center"/>
          </w:tcPr>
          <w:p w14:paraId="6BAEAE9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60" w:type="dxa"/>
            <w:noWrap w:val="0"/>
            <w:vAlign w:val="center"/>
          </w:tcPr>
          <w:p w14:paraId="78D5F45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专业职称</w:t>
            </w:r>
          </w:p>
        </w:tc>
        <w:tc>
          <w:tcPr>
            <w:tcW w:w="3058" w:type="dxa"/>
            <w:noWrap w:val="0"/>
            <w:vAlign w:val="center"/>
          </w:tcPr>
          <w:p w14:paraId="01EF7D6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36BB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center"/>
          </w:tcPr>
          <w:p w14:paraId="5E4C4BD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执业资格证书编号</w:t>
            </w:r>
          </w:p>
        </w:tc>
        <w:tc>
          <w:tcPr>
            <w:tcW w:w="3060" w:type="dxa"/>
            <w:noWrap w:val="0"/>
            <w:vAlign w:val="center"/>
          </w:tcPr>
          <w:p w14:paraId="57BDA14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60" w:type="dxa"/>
            <w:noWrap w:val="0"/>
            <w:vAlign w:val="center"/>
          </w:tcPr>
          <w:p w14:paraId="74FD321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3058" w:type="dxa"/>
            <w:noWrap w:val="0"/>
            <w:vAlign w:val="center"/>
          </w:tcPr>
          <w:p w14:paraId="37CF5DF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D77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1" w:hRule="atLeast"/>
          <w:jc w:val="center"/>
        </w:trPr>
        <w:tc>
          <w:tcPr>
            <w:tcW w:w="1908" w:type="dxa"/>
            <w:noWrap w:val="0"/>
            <w:vAlign w:val="center"/>
          </w:tcPr>
          <w:p w14:paraId="7F7E8EC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主要工作业绩及担任的主要工作</w:t>
            </w:r>
          </w:p>
        </w:tc>
        <w:tc>
          <w:tcPr>
            <w:tcW w:w="7378" w:type="dxa"/>
            <w:gridSpan w:val="3"/>
            <w:noWrap w:val="0"/>
            <w:vAlign w:val="center"/>
          </w:tcPr>
          <w:p w14:paraId="656FFA8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bl>
    <w:p w14:paraId="4192C06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2139640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附3：承诺书</w:t>
      </w:r>
    </w:p>
    <w:p w14:paraId="237C7E4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承诺书</w:t>
      </w:r>
    </w:p>
    <w:p w14:paraId="14E5727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名称）：</w:t>
      </w:r>
    </w:p>
    <w:p w14:paraId="64F6B11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我方在此声明，我方拟派往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（项目名称）（以下简称“本工程”）的项目经理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（项目经理姓名）现阶段没有担任任何在施建设工程项目的项目经理。</w:t>
      </w:r>
    </w:p>
    <w:p w14:paraId="14A32C6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我方保证上述信息的真实和准确，并愿意承担因我方就此弄虚作假所引起的一切法律后果。</w:t>
      </w:r>
    </w:p>
    <w:p w14:paraId="01F93C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p>
    <w:p w14:paraId="1AEC28A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7E0A5BE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6D410FA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5333233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6CE1B4B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53C4D95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6053D27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3BF2DAD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0605010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jc w:val="right"/>
        <w:rPr>
          <w:rFonts w:hint="eastAsia" w:ascii="宋体" w:hAnsi="宋体" w:eastAsia="宋体" w:cs="宋体"/>
          <w:color w:val="auto"/>
          <w:sz w:val="21"/>
          <w:szCs w:val="21"/>
          <w:highlight w:val="none"/>
        </w:rPr>
      </w:pPr>
    </w:p>
    <w:p w14:paraId="3C12AE1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76DBCF2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jc w:val="right"/>
        <w:rPr>
          <w:rFonts w:hint="eastAsia" w:ascii="宋体" w:hAnsi="宋体" w:eastAsia="宋体" w:cs="宋体"/>
          <w:color w:val="auto"/>
          <w:sz w:val="21"/>
          <w:szCs w:val="21"/>
          <w:highlight w:val="none"/>
        </w:rPr>
      </w:pPr>
    </w:p>
    <w:p w14:paraId="5FB0B9F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4F59D6E">
      <w:pPr>
        <w:pStyle w:val="4"/>
        <w:keepNext w:val="0"/>
        <w:keepLines w:val="0"/>
        <w:pageBreakBefore w:val="0"/>
        <w:widowControl w:val="0"/>
        <w:kinsoku/>
        <w:wordWrap w:val="0"/>
        <w:overflowPunct/>
        <w:topLinePunct w:val="0"/>
        <w:autoSpaceDE/>
        <w:autoSpaceDN/>
        <w:bidi w:val="0"/>
        <w:adjustRightInd w:val="0"/>
        <w:snapToGrid w:val="0"/>
        <w:spacing w:before="0" w:after="0" w:line="360" w:lineRule="auto"/>
        <w:ind w:left="0" w:leftChars="0" w:right="0" w:firstLine="0" w:firstLineChars="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79" w:name="_Toc29043"/>
      <w:bookmarkStart w:id="80" w:name="_Toc323642005"/>
      <w:bookmarkStart w:id="81" w:name="_Toc374107074"/>
      <w:bookmarkStart w:id="82" w:name="_Toc300901200"/>
    </w:p>
    <w:p w14:paraId="25EA93DA">
      <w:pPr>
        <w:pStyle w:val="4"/>
        <w:keepNext w:val="0"/>
        <w:keepLines w:val="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六、</w:t>
      </w:r>
      <w:r>
        <w:rPr>
          <w:rFonts w:hint="eastAsia" w:ascii="宋体" w:hAnsi="宋体" w:eastAsia="宋体" w:cs="宋体"/>
          <w:color w:val="auto"/>
          <w:sz w:val="32"/>
          <w:szCs w:val="32"/>
          <w:highlight w:val="none"/>
        </w:rPr>
        <w:t>供应商资信资料</w:t>
      </w:r>
    </w:p>
    <w:p w14:paraId="016FD317">
      <w:pPr>
        <w:pStyle w:val="14"/>
        <w:tabs>
          <w:tab w:val="left" w:pos="9638"/>
        </w:tabs>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供应商资信资料和需要提供的证明文件</w:t>
      </w:r>
    </w:p>
    <w:p w14:paraId="661E6DD1">
      <w:pPr>
        <w:pStyle w:val="4"/>
        <w:keepNext w:val="0"/>
        <w:keepLines w:val="0"/>
        <w:pageBreakBefore w:val="0"/>
        <w:widowControl w:val="0"/>
        <w:kinsoku/>
        <w:wordWrap w:val="0"/>
        <w:overflowPunct/>
        <w:topLinePunct w:val="0"/>
        <w:autoSpaceDE/>
        <w:autoSpaceDN/>
        <w:bidi w:val="0"/>
        <w:adjustRightInd w:val="0"/>
        <w:snapToGrid w:val="0"/>
        <w:spacing w:before="0" w:after="0" w:line="360" w:lineRule="auto"/>
        <w:ind w:left="0" w:leftChars="0" w:right="0" w:firstLine="0" w:firstLineChars="0"/>
        <w:jc w:val="center"/>
        <w:outlineLvl w:val="0"/>
        <w:rPr>
          <w:rFonts w:hint="eastAsia" w:ascii="宋体" w:hAnsi="宋体" w:eastAsia="宋体" w:cs="宋体"/>
          <w:color w:val="auto"/>
          <w:sz w:val="32"/>
          <w:szCs w:val="32"/>
          <w:highlight w:val="none"/>
          <w:lang w:val="en-US" w:eastAsia="zh-CN"/>
        </w:rPr>
      </w:pPr>
    </w:p>
    <w:p w14:paraId="2CFC9AE9">
      <w:pPr>
        <w:pStyle w:val="4"/>
        <w:keepNext w:val="0"/>
        <w:keepLines w:val="0"/>
        <w:pageBreakBefore w:val="0"/>
        <w:widowControl w:val="0"/>
        <w:kinsoku/>
        <w:wordWrap w:val="0"/>
        <w:overflowPunct/>
        <w:topLinePunct w:val="0"/>
        <w:autoSpaceDE/>
        <w:autoSpaceDN/>
        <w:bidi w:val="0"/>
        <w:adjustRightInd w:val="0"/>
        <w:snapToGrid w:val="0"/>
        <w:spacing w:before="0" w:after="0" w:line="360" w:lineRule="auto"/>
        <w:ind w:left="0" w:leftChars="0" w:right="0" w:firstLine="0" w:firstLineChars="0"/>
        <w:jc w:val="center"/>
        <w:outlineLvl w:val="0"/>
        <w:rPr>
          <w:rFonts w:hint="eastAsia" w:ascii="宋体" w:hAnsi="宋体" w:eastAsia="宋体" w:cs="宋体"/>
          <w:color w:val="auto"/>
          <w:sz w:val="32"/>
          <w:szCs w:val="32"/>
          <w:highlight w:val="none"/>
          <w:lang w:val="en-US" w:eastAsia="zh-CN"/>
        </w:rPr>
      </w:pPr>
    </w:p>
    <w:p w14:paraId="78B6F0D2">
      <w:pPr>
        <w:rPr>
          <w:rFonts w:hint="eastAsia" w:ascii="宋体" w:hAnsi="宋体" w:eastAsia="宋体" w:cs="宋体"/>
          <w:color w:val="auto"/>
          <w:sz w:val="32"/>
          <w:szCs w:val="32"/>
          <w:highlight w:val="none"/>
          <w:lang w:val="en-US" w:eastAsia="zh-CN"/>
        </w:rPr>
      </w:pPr>
    </w:p>
    <w:p w14:paraId="719156EB">
      <w:pPr>
        <w:pStyle w:val="2"/>
        <w:rPr>
          <w:rFonts w:hint="eastAsia" w:ascii="宋体" w:hAnsi="宋体" w:eastAsia="宋体" w:cs="宋体"/>
          <w:color w:val="auto"/>
          <w:sz w:val="32"/>
          <w:szCs w:val="32"/>
          <w:highlight w:val="none"/>
          <w:lang w:val="en-US" w:eastAsia="zh-CN"/>
        </w:rPr>
      </w:pPr>
    </w:p>
    <w:p w14:paraId="4B3D5F46">
      <w:pPr>
        <w:rPr>
          <w:rFonts w:hint="eastAsia" w:ascii="宋体" w:hAnsi="宋体" w:eastAsia="宋体" w:cs="宋体"/>
          <w:color w:val="auto"/>
          <w:sz w:val="32"/>
          <w:szCs w:val="32"/>
          <w:highlight w:val="none"/>
          <w:lang w:val="en-US" w:eastAsia="zh-CN"/>
        </w:rPr>
      </w:pPr>
    </w:p>
    <w:p w14:paraId="40029C68">
      <w:pPr>
        <w:pStyle w:val="2"/>
        <w:rPr>
          <w:rFonts w:hint="eastAsia" w:ascii="宋体" w:hAnsi="宋体" w:eastAsia="宋体" w:cs="宋体"/>
          <w:color w:val="auto"/>
          <w:sz w:val="32"/>
          <w:szCs w:val="32"/>
          <w:highlight w:val="none"/>
          <w:lang w:val="en-US" w:eastAsia="zh-CN"/>
        </w:rPr>
      </w:pPr>
    </w:p>
    <w:p w14:paraId="4172EA30">
      <w:pPr>
        <w:rPr>
          <w:rFonts w:hint="eastAsia" w:ascii="宋体" w:hAnsi="宋体" w:eastAsia="宋体" w:cs="宋体"/>
          <w:color w:val="auto"/>
          <w:sz w:val="32"/>
          <w:szCs w:val="32"/>
          <w:highlight w:val="none"/>
          <w:lang w:val="en-US" w:eastAsia="zh-CN"/>
        </w:rPr>
      </w:pPr>
    </w:p>
    <w:p w14:paraId="7421FC4C">
      <w:pPr>
        <w:pStyle w:val="2"/>
        <w:rPr>
          <w:rFonts w:hint="eastAsia" w:ascii="宋体" w:hAnsi="宋体" w:eastAsia="宋体" w:cs="宋体"/>
          <w:color w:val="auto"/>
          <w:sz w:val="32"/>
          <w:szCs w:val="32"/>
          <w:highlight w:val="none"/>
          <w:lang w:val="en-US" w:eastAsia="zh-CN"/>
        </w:rPr>
      </w:pPr>
    </w:p>
    <w:p w14:paraId="2E005DA9">
      <w:pPr>
        <w:rPr>
          <w:rFonts w:hint="eastAsia" w:ascii="宋体" w:hAnsi="宋体" w:eastAsia="宋体" w:cs="宋体"/>
          <w:color w:val="auto"/>
          <w:sz w:val="32"/>
          <w:szCs w:val="32"/>
          <w:highlight w:val="none"/>
          <w:lang w:val="en-US" w:eastAsia="zh-CN"/>
        </w:rPr>
      </w:pPr>
    </w:p>
    <w:p w14:paraId="401EAF31">
      <w:pPr>
        <w:pStyle w:val="2"/>
        <w:rPr>
          <w:rFonts w:hint="eastAsia" w:ascii="宋体" w:hAnsi="宋体" w:eastAsia="宋体" w:cs="宋体"/>
          <w:color w:val="auto"/>
          <w:sz w:val="32"/>
          <w:szCs w:val="32"/>
          <w:highlight w:val="none"/>
          <w:lang w:val="en-US" w:eastAsia="zh-CN"/>
        </w:rPr>
      </w:pPr>
    </w:p>
    <w:p w14:paraId="5CA71FA9">
      <w:pPr>
        <w:rPr>
          <w:rFonts w:hint="eastAsia" w:ascii="宋体" w:hAnsi="宋体" w:eastAsia="宋体" w:cs="宋体"/>
          <w:color w:val="auto"/>
          <w:sz w:val="32"/>
          <w:szCs w:val="32"/>
          <w:highlight w:val="none"/>
          <w:lang w:val="en-US" w:eastAsia="zh-CN"/>
        </w:rPr>
      </w:pPr>
    </w:p>
    <w:p w14:paraId="6F4B02BD">
      <w:pPr>
        <w:pStyle w:val="2"/>
        <w:rPr>
          <w:rFonts w:hint="eastAsia" w:ascii="宋体" w:hAnsi="宋体" w:eastAsia="宋体" w:cs="宋体"/>
          <w:color w:val="auto"/>
          <w:sz w:val="32"/>
          <w:szCs w:val="32"/>
          <w:highlight w:val="none"/>
          <w:lang w:val="en-US" w:eastAsia="zh-CN"/>
        </w:rPr>
      </w:pPr>
    </w:p>
    <w:p w14:paraId="47B57053">
      <w:pPr>
        <w:rPr>
          <w:rFonts w:hint="eastAsia" w:ascii="宋体" w:hAnsi="宋体" w:eastAsia="宋体" w:cs="宋体"/>
          <w:color w:val="auto"/>
          <w:sz w:val="32"/>
          <w:szCs w:val="32"/>
          <w:highlight w:val="none"/>
          <w:lang w:val="en-US" w:eastAsia="zh-CN"/>
        </w:rPr>
      </w:pPr>
    </w:p>
    <w:p w14:paraId="0BA45E7A">
      <w:pPr>
        <w:pStyle w:val="2"/>
        <w:rPr>
          <w:rFonts w:hint="eastAsia" w:ascii="宋体" w:hAnsi="宋体" w:eastAsia="宋体" w:cs="宋体"/>
          <w:color w:val="auto"/>
          <w:sz w:val="32"/>
          <w:szCs w:val="32"/>
          <w:highlight w:val="none"/>
          <w:lang w:val="en-US" w:eastAsia="zh-CN"/>
        </w:rPr>
      </w:pPr>
    </w:p>
    <w:p w14:paraId="3B417E4E">
      <w:pPr>
        <w:rPr>
          <w:rFonts w:hint="eastAsia" w:ascii="宋体" w:hAnsi="宋体" w:eastAsia="宋体" w:cs="宋体"/>
          <w:color w:val="auto"/>
          <w:sz w:val="32"/>
          <w:szCs w:val="32"/>
          <w:highlight w:val="none"/>
          <w:lang w:val="en-US" w:eastAsia="zh-CN"/>
        </w:rPr>
      </w:pPr>
    </w:p>
    <w:p w14:paraId="3B319F08">
      <w:pPr>
        <w:pStyle w:val="2"/>
        <w:rPr>
          <w:rFonts w:hint="eastAsia" w:ascii="宋体" w:hAnsi="宋体" w:eastAsia="宋体" w:cs="宋体"/>
          <w:color w:val="auto"/>
          <w:sz w:val="32"/>
          <w:szCs w:val="32"/>
          <w:highlight w:val="none"/>
          <w:lang w:val="en-US" w:eastAsia="zh-CN"/>
        </w:rPr>
      </w:pPr>
    </w:p>
    <w:p w14:paraId="028BBC44">
      <w:pPr>
        <w:rPr>
          <w:rFonts w:hint="eastAsia" w:ascii="宋体" w:hAnsi="宋体" w:eastAsia="宋体" w:cs="宋体"/>
          <w:color w:val="auto"/>
          <w:lang w:val="en-US" w:eastAsia="zh-CN"/>
        </w:rPr>
      </w:pPr>
    </w:p>
    <w:p w14:paraId="144D8DD5">
      <w:pPr>
        <w:pStyle w:val="4"/>
        <w:keepNext w:val="0"/>
        <w:keepLines w:val="0"/>
        <w:pageBreakBefore w:val="0"/>
        <w:widowControl w:val="0"/>
        <w:kinsoku/>
        <w:wordWrap w:val="0"/>
        <w:overflowPunct/>
        <w:topLinePunct w:val="0"/>
        <w:autoSpaceDE/>
        <w:autoSpaceDN/>
        <w:bidi w:val="0"/>
        <w:adjustRightInd w:val="0"/>
        <w:snapToGrid w:val="0"/>
        <w:spacing w:before="0" w:after="0" w:line="360" w:lineRule="auto"/>
        <w:ind w:left="0" w:leftChars="0" w:right="0" w:firstLine="0" w:firstLineChars="0"/>
        <w:jc w:val="center"/>
        <w:outlineLvl w:val="0"/>
        <w:rPr>
          <w:rFonts w:hint="eastAsia" w:ascii="宋体" w:hAnsi="宋体" w:eastAsia="宋体" w:cs="宋体"/>
          <w:color w:val="auto"/>
          <w:sz w:val="32"/>
          <w:szCs w:val="32"/>
          <w:highlight w:val="none"/>
          <w:lang w:val="en-US" w:eastAsia="zh-CN"/>
        </w:rPr>
      </w:pPr>
    </w:p>
    <w:p w14:paraId="1069A08D">
      <w:pPr>
        <w:pStyle w:val="4"/>
        <w:keepNext w:val="0"/>
        <w:keepLines w:val="0"/>
        <w:pageBreakBefore w:val="0"/>
        <w:widowControl w:val="0"/>
        <w:kinsoku/>
        <w:wordWrap w:val="0"/>
        <w:overflowPunct/>
        <w:topLinePunct w:val="0"/>
        <w:autoSpaceDE/>
        <w:autoSpaceDN/>
        <w:bidi w:val="0"/>
        <w:adjustRightInd w:val="0"/>
        <w:snapToGrid w:val="0"/>
        <w:spacing w:before="0" w:after="0" w:line="360" w:lineRule="auto"/>
        <w:ind w:left="0" w:leftChars="0" w:right="0" w:firstLine="0" w:firstLineChars="0"/>
        <w:jc w:val="center"/>
        <w:outlineLvl w:val="0"/>
        <w:rPr>
          <w:rFonts w:hint="eastAsia" w:ascii="宋体" w:hAnsi="宋体" w:eastAsia="宋体" w:cs="宋体"/>
          <w:color w:val="auto"/>
          <w:sz w:val="32"/>
          <w:szCs w:val="32"/>
          <w:highlight w:val="none"/>
          <w:lang w:val="en-US" w:eastAsia="zh-CN"/>
        </w:rPr>
      </w:pPr>
    </w:p>
    <w:p w14:paraId="7816C0F8">
      <w:pPr>
        <w:pStyle w:val="4"/>
        <w:keepNext w:val="0"/>
        <w:keepLines w:val="0"/>
        <w:pageBreakBefore w:val="0"/>
        <w:widowControl w:val="0"/>
        <w:kinsoku/>
        <w:wordWrap w:val="0"/>
        <w:overflowPunct/>
        <w:topLinePunct w:val="0"/>
        <w:autoSpaceDE/>
        <w:autoSpaceDN/>
        <w:bidi w:val="0"/>
        <w:adjustRightInd w:val="0"/>
        <w:snapToGrid w:val="0"/>
        <w:spacing w:before="0" w:after="0" w:line="360" w:lineRule="auto"/>
        <w:ind w:left="0" w:leftChars="0" w:right="0" w:firstLine="0" w:firstLineChars="0"/>
        <w:jc w:val="center"/>
        <w:outlineLvl w:val="0"/>
        <w:rPr>
          <w:rFonts w:hint="eastAsia" w:ascii="宋体" w:hAnsi="宋体" w:eastAsia="宋体" w:cs="宋体"/>
          <w:color w:val="auto"/>
          <w:sz w:val="32"/>
          <w:szCs w:val="32"/>
          <w:highlight w:val="none"/>
          <w:lang w:val="en-US" w:eastAsia="zh-CN"/>
        </w:rPr>
      </w:pPr>
    </w:p>
    <w:p w14:paraId="57067822">
      <w:pPr>
        <w:pStyle w:val="4"/>
        <w:keepNext w:val="0"/>
        <w:keepLines w:val="0"/>
        <w:pageBreakBefore w:val="0"/>
        <w:widowControl w:val="0"/>
        <w:kinsoku/>
        <w:wordWrap w:val="0"/>
        <w:overflowPunct/>
        <w:topLinePunct w:val="0"/>
        <w:autoSpaceDE/>
        <w:autoSpaceDN/>
        <w:bidi w:val="0"/>
        <w:adjustRightInd w:val="0"/>
        <w:snapToGrid w:val="0"/>
        <w:spacing w:before="0" w:after="0" w:line="360" w:lineRule="auto"/>
        <w:ind w:left="0" w:leftChars="0" w:right="0" w:firstLine="0" w:firstLineChars="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32"/>
          <w:szCs w:val="32"/>
          <w:highlight w:val="none"/>
          <w:lang w:val="en-US" w:eastAsia="zh-CN"/>
        </w:rPr>
        <w:t>七</w:t>
      </w:r>
      <w:r>
        <w:rPr>
          <w:rFonts w:hint="eastAsia" w:ascii="宋体" w:hAnsi="宋体" w:eastAsia="宋体" w:cs="宋体"/>
          <w:color w:val="auto"/>
          <w:sz w:val="32"/>
          <w:szCs w:val="32"/>
          <w:highlight w:val="none"/>
        </w:rPr>
        <w:t>、资格审查资料</w:t>
      </w:r>
      <w:bookmarkEnd w:id="79"/>
      <w:bookmarkEnd w:id="80"/>
      <w:bookmarkEnd w:id="81"/>
      <w:bookmarkEnd w:id="82"/>
    </w:p>
    <w:p w14:paraId="2419BFD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供应商基本情况表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979"/>
        <w:gridCol w:w="1116"/>
        <w:gridCol w:w="1085"/>
        <w:gridCol w:w="308"/>
        <w:gridCol w:w="212"/>
        <w:gridCol w:w="1361"/>
        <w:gridCol w:w="284"/>
        <w:gridCol w:w="774"/>
        <w:gridCol w:w="1545"/>
      </w:tblGrid>
      <w:tr w14:paraId="041B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noWrap w:val="0"/>
            <w:vAlign w:val="center"/>
          </w:tcPr>
          <w:p w14:paraId="1610AD6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7664" w:type="dxa"/>
            <w:gridSpan w:val="9"/>
            <w:noWrap w:val="0"/>
            <w:vAlign w:val="center"/>
          </w:tcPr>
          <w:p w14:paraId="4B525D6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8D5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noWrap w:val="0"/>
            <w:vAlign w:val="center"/>
          </w:tcPr>
          <w:p w14:paraId="3DE56E6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3700" w:type="dxa"/>
            <w:gridSpan w:val="5"/>
            <w:noWrap w:val="0"/>
            <w:vAlign w:val="center"/>
          </w:tcPr>
          <w:p w14:paraId="1FB3954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61" w:type="dxa"/>
            <w:noWrap w:val="0"/>
            <w:vAlign w:val="center"/>
          </w:tcPr>
          <w:p w14:paraId="4CAAC81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603" w:type="dxa"/>
            <w:gridSpan w:val="3"/>
            <w:noWrap w:val="0"/>
            <w:vAlign w:val="center"/>
          </w:tcPr>
          <w:p w14:paraId="276111C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419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vMerge w:val="restart"/>
            <w:noWrap w:val="0"/>
            <w:vAlign w:val="center"/>
          </w:tcPr>
          <w:p w14:paraId="17B7DCB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979" w:type="dxa"/>
            <w:noWrap w:val="0"/>
            <w:vAlign w:val="center"/>
          </w:tcPr>
          <w:p w14:paraId="1FC6D79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721" w:type="dxa"/>
            <w:gridSpan w:val="4"/>
            <w:noWrap w:val="0"/>
            <w:vAlign w:val="center"/>
          </w:tcPr>
          <w:p w14:paraId="7C0671B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61" w:type="dxa"/>
            <w:noWrap w:val="0"/>
            <w:vAlign w:val="center"/>
          </w:tcPr>
          <w:p w14:paraId="6C2D608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c>
          <w:tcPr>
            <w:tcW w:w="2603" w:type="dxa"/>
            <w:gridSpan w:val="3"/>
            <w:noWrap w:val="0"/>
            <w:vAlign w:val="center"/>
          </w:tcPr>
          <w:p w14:paraId="4BA3AEF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4DC9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vMerge w:val="continue"/>
            <w:noWrap w:val="0"/>
            <w:vAlign w:val="center"/>
          </w:tcPr>
          <w:p w14:paraId="16289F7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79" w:type="dxa"/>
            <w:noWrap w:val="0"/>
            <w:vAlign w:val="center"/>
          </w:tcPr>
          <w:p w14:paraId="62B9471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tc>
        <w:tc>
          <w:tcPr>
            <w:tcW w:w="2721" w:type="dxa"/>
            <w:gridSpan w:val="4"/>
            <w:noWrap w:val="0"/>
            <w:vAlign w:val="center"/>
          </w:tcPr>
          <w:p w14:paraId="2951F62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61" w:type="dxa"/>
            <w:noWrap w:val="0"/>
            <w:vAlign w:val="center"/>
          </w:tcPr>
          <w:p w14:paraId="364212A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  址</w:t>
            </w:r>
          </w:p>
        </w:tc>
        <w:tc>
          <w:tcPr>
            <w:tcW w:w="2603" w:type="dxa"/>
            <w:gridSpan w:val="3"/>
            <w:noWrap w:val="0"/>
            <w:vAlign w:val="center"/>
          </w:tcPr>
          <w:p w14:paraId="01CC790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1AB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noWrap w:val="0"/>
            <w:vAlign w:val="center"/>
          </w:tcPr>
          <w:p w14:paraId="0DED194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组织结构</w:t>
            </w:r>
          </w:p>
        </w:tc>
        <w:tc>
          <w:tcPr>
            <w:tcW w:w="7664" w:type="dxa"/>
            <w:gridSpan w:val="9"/>
            <w:noWrap w:val="0"/>
            <w:vAlign w:val="center"/>
          </w:tcPr>
          <w:p w14:paraId="029A3F5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3726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noWrap w:val="0"/>
            <w:vAlign w:val="center"/>
          </w:tcPr>
          <w:p w14:paraId="3A5449D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979" w:type="dxa"/>
            <w:noWrap w:val="0"/>
            <w:vAlign w:val="center"/>
          </w:tcPr>
          <w:p w14:paraId="31DEFF4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16" w:type="dxa"/>
            <w:noWrap w:val="0"/>
            <w:vAlign w:val="center"/>
          </w:tcPr>
          <w:p w14:paraId="0133C4A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3" w:type="dxa"/>
            <w:gridSpan w:val="2"/>
            <w:noWrap w:val="0"/>
            <w:vAlign w:val="center"/>
          </w:tcPr>
          <w:p w14:paraId="308B8D5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857" w:type="dxa"/>
            <w:gridSpan w:val="3"/>
            <w:noWrap w:val="0"/>
            <w:vAlign w:val="center"/>
          </w:tcPr>
          <w:p w14:paraId="33CE3DF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74" w:type="dxa"/>
            <w:noWrap w:val="0"/>
            <w:vAlign w:val="center"/>
          </w:tcPr>
          <w:p w14:paraId="6CD3BC6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545" w:type="dxa"/>
            <w:noWrap w:val="0"/>
            <w:vAlign w:val="center"/>
          </w:tcPr>
          <w:p w14:paraId="273FCDE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17CE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noWrap w:val="0"/>
            <w:vAlign w:val="center"/>
          </w:tcPr>
          <w:p w14:paraId="7D79DD2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979" w:type="dxa"/>
            <w:noWrap w:val="0"/>
            <w:vAlign w:val="center"/>
          </w:tcPr>
          <w:p w14:paraId="69F36B9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16" w:type="dxa"/>
            <w:noWrap w:val="0"/>
            <w:vAlign w:val="center"/>
          </w:tcPr>
          <w:p w14:paraId="28BC05C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3" w:type="dxa"/>
            <w:gridSpan w:val="2"/>
            <w:noWrap w:val="0"/>
            <w:vAlign w:val="center"/>
          </w:tcPr>
          <w:p w14:paraId="6D263B8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857" w:type="dxa"/>
            <w:gridSpan w:val="3"/>
            <w:noWrap w:val="0"/>
            <w:vAlign w:val="center"/>
          </w:tcPr>
          <w:p w14:paraId="0FDEC7D0">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774" w:type="dxa"/>
            <w:noWrap w:val="0"/>
            <w:vAlign w:val="center"/>
          </w:tcPr>
          <w:p w14:paraId="78DAB18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545" w:type="dxa"/>
            <w:noWrap w:val="0"/>
            <w:vAlign w:val="center"/>
          </w:tcPr>
          <w:p w14:paraId="0E5DB28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E28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noWrap w:val="0"/>
            <w:vAlign w:val="center"/>
          </w:tcPr>
          <w:p w14:paraId="02F1CFA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2095" w:type="dxa"/>
            <w:gridSpan w:val="2"/>
            <w:noWrap w:val="0"/>
            <w:vAlign w:val="center"/>
          </w:tcPr>
          <w:p w14:paraId="4859059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5569" w:type="dxa"/>
            <w:gridSpan w:val="7"/>
            <w:noWrap w:val="0"/>
            <w:vAlign w:val="center"/>
          </w:tcPr>
          <w:p w14:paraId="60AA0EF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员工总人数：</w:t>
            </w:r>
          </w:p>
        </w:tc>
      </w:tr>
      <w:tr w14:paraId="62E4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noWrap w:val="0"/>
            <w:vAlign w:val="center"/>
          </w:tcPr>
          <w:p w14:paraId="6387248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企业资质等级</w:t>
            </w:r>
          </w:p>
        </w:tc>
        <w:tc>
          <w:tcPr>
            <w:tcW w:w="979" w:type="dxa"/>
            <w:noWrap w:val="0"/>
            <w:vAlign w:val="center"/>
          </w:tcPr>
          <w:p w14:paraId="21979BE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16" w:type="dxa"/>
            <w:noWrap w:val="0"/>
            <w:vAlign w:val="center"/>
          </w:tcPr>
          <w:p w14:paraId="0FAD72F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85" w:type="dxa"/>
            <w:vMerge w:val="restart"/>
            <w:noWrap w:val="0"/>
            <w:vAlign w:val="center"/>
          </w:tcPr>
          <w:p w14:paraId="5CCB5B2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tc>
        <w:tc>
          <w:tcPr>
            <w:tcW w:w="2165" w:type="dxa"/>
            <w:gridSpan w:val="4"/>
            <w:noWrap w:val="0"/>
            <w:vAlign w:val="center"/>
          </w:tcPr>
          <w:p w14:paraId="4BA04C1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2319" w:type="dxa"/>
            <w:gridSpan w:val="2"/>
            <w:noWrap w:val="0"/>
            <w:vAlign w:val="center"/>
          </w:tcPr>
          <w:p w14:paraId="5949D5F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45C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noWrap w:val="0"/>
            <w:vAlign w:val="center"/>
          </w:tcPr>
          <w:p w14:paraId="31B6E0C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w:t>
            </w:r>
          </w:p>
        </w:tc>
        <w:tc>
          <w:tcPr>
            <w:tcW w:w="979" w:type="dxa"/>
            <w:noWrap w:val="0"/>
            <w:vAlign w:val="center"/>
          </w:tcPr>
          <w:p w14:paraId="7B486852">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16" w:type="dxa"/>
            <w:noWrap w:val="0"/>
            <w:vAlign w:val="center"/>
          </w:tcPr>
          <w:p w14:paraId="1BD18A8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85" w:type="dxa"/>
            <w:vMerge w:val="continue"/>
            <w:noWrap w:val="0"/>
            <w:vAlign w:val="center"/>
          </w:tcPr>
          <w:p w14:paraId="1CDB7CD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165" w:type="dxa"/>
            <w:gridSpan w:val="4"/>
            <w:noWrap w:val="0"/>
            <w:vAlign w:val="center"/>
          </w:tcPr>
          <w:p w14:paraId="0AFB9C5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高级职称人员</w:t>
            </w:r>
          </w:p>
        </w:tc>
        <w:tc>
          <w:tcPr>
            <w:tcW w:w="2319" w:type="dxa"/>
            <w:gridSpan w:val="2"/>
            <w:noWrap w:val="0"/>
            <w:vAlign w:val="center"/>
          </w:tcPr>
          <w:p w14:paraId="5BB1CA3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2298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noWrap w:val="0"/>
            <w:vAlign w:val="center"/>
          </w:tcPr>
          <w:p w14:paraId="23BE5C0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979" w:type="dxa"/>
            <w:noWrap w:val="0"/>
            <w:vAlign w:val="center"/>
          </w:tcPr>
          <w:p w14:paraId="7213951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16" w:type="dxa"/>
            <w:noWrap w:val="0"/>
            <w:vAlign w:val="center"/>
          </w:tcPr>
          <w:p w14:paraId="7B61130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85" w:type="dxa"/>
            <w:vMerge w:val="continue"/>
            <w:noWrap w:val="0"/>
            <w:vAlign w:val="center"/>
          </w:tcPr>
          <w:p w14:paraId="4715A36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165" w:type="dxa"/>
            <w:gridSpan w:val="4"/>
            <w:noWrap w:val="0"/>
            <w:vAlign w:val="center"/>
          </w:tcPr>
          <w:p w14:paraId="4C73ED0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中级职称人员</w:t>
            </w:r>
          </w:p>
        </w:tc>
        <w:tc>
          <w:tcPr>
            <w:tcW w:w="2319" w:type="dxa"/>
            <w:gridSpan w:val="2"/>
            <w:noWrap w:val="0"/>
            <w:vAlign w:val="center"/>
          </w:tcPr>
          <w:p w14:paraId="4CE0BEB8">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6E59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noWrap w:val="0"/>
            <w:vAlign w:val="center"/>
          </w:tcPr>
          <w:p w14:paraId="456AE1C1">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979" w:type="dxa"/>
            <w:noWrap w:val="0"/>
            <w:vAlign w:val="center"/>
          </w:tcPr>
          <w:p w14:paraId="3D0BDDF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16" w:type="dxa"/>
            <w:noWrap w:val="0"/>
            <w:vAlign w:val="center"/>
          </w:tcPr>
          <w:p w14:paraId="3EAB209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85" w:type="dxa"/>
            <w:vMerge w:val="continue"/>
            <w:noWrap w:val="0"/>
            <w:vAlign w:val="center"/>
          </w:tcPr>
          <w:p w14:paraId="622C00F6">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165" w:type="dxa"/>
            <w:gridSpan w:val="4"/>
            <w:noWrap w:val="0"/>
            <w:vAlign w:val="center"/>
          </w:tcPr>
          <w:p w14:paraId="71140C8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初级职称人员</w:t>
            </w:r>
          </w:p>
        </w:tc>
        <w:tc>
          <w:tcPr>
            <w:tcW w:w="2319" w:type="dxa"/>
            <w:gridSpan w:val="2"/>
            <w:noWrap w:val="0"/>
            <w:vAlign w:val="center"/>
          </w:tcPr>
          <w:p w14:paraId="22889794">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4381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noWrap w:val="0"/>
            <w:vAlign w:val="center"/>
          </w:tcPr>
          <w:p w14:paraId="401D97DB">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979" w:type="dxa"/>
            <w:noWrap w:val="0"/>
            <w:vAlign w:val="center"/>
          </w:tcPr>
          <w:p w14:paraId="2A652A2D">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116" w:type="dxa"/>
            <w:noWrap w:val="0"/>
            <w:vAlign w:val="center"/>
          </w:tcPr>
          <w:p w14:paraId="08F45CA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85" w:type="dxa"/>
            <w:vMerge w:val="continue"/>
            <w:noWrap w:val="0"/>
            <w:vAlign w:val="center"/>
          </w:tcPr>
          <w:p w14:paraId="1046A039">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2165" w:type="dxa"/>
            <w:gridSpan w:val="4"/>
            <w:noWrap w:val="0"/>
            <w:vAlign w:val="center"/>
          </w:tcPr>
          <w:p w14:paraId="6B107D6F">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  工</w:t>
            </w:r>
          </w:p>
        </w:tc>
        <w:tc>
          <w:tcPr>
            <w:tcW w:w="2319" w:type="dxa"/>
            <w:gridSpan w:val="2"/>
            <w:noWrap w:val="0"/>
            <w:vAlign w:val="center"/>
          </w:tcPr>
          <w:p w14:paraId="0EE29BF7">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4E58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622" w:type="dxa"/>
            <w:noWrap w:val="0"/>
            <w:vAlign w:val="center"/>
          </w:tcPr>
          <w:p w14:paraId="06C7D3AE">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7664" w:type="dxa"/>
            <w:gridSpan w:val="9"/>
            <w:noWrap w:val="0"/>
            <w:vAlign w:val="center"/>
          </w:tcPr>
          <w:p w14:paraId="015818C3">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r w14:paraId="5F24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noWrap w:val="0"/>
            <w:vAlign w:val="center"/>
          </w:tcPr>
          <w:p w14:paraId="4430C26A">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7664" w:type="dxa"/>
            <w:gridSpan w:val="9"/>
            <w:noWrap w:val="0"/>
            <w:vAlign w:val="center"/>
          </w:tcPr>
          <w:p w14:paraId="4D381F0C">
            <w:pPr>
              <w:keepNext w:val="0"/>
              <w:keepLines w:val="0"/>
              <w:pageBreakBefore w:val="0"/>
              <w:widowControl w:val="0"/>
              <w:kinsoku/>
              <w:wordWrap w:val="0"/>
              <w:overflowPunct/>
              <w:topLinePunct w:val="0"/>
              <w:autoSpaceDE/>
              <w:autoSpaceDN/>
              <w:bidi w:val="0"/>
              <w:adjustRightInd w:val="0"/>
              <w:snapToGrid/>
              <w:spacing w:line="360" w:lineRule="auto"/>
              <w:ind w:left="0" w:leftChars="0" w:right="0" w:firstLine="0" w:firstLineChars="0"/>
              <w:jc w:val="center"/>
              <w:textAlignment w:val="auto"/>
              <w:rPr>
                <w:rFonts w:hint="eastAsia" w:ascii="宋体" w:hAnsi="宋体" w:eastAsia="宋体" w:cs="宋体"/>
                <w:color w:val="auto"/>
                <w:sz w:val="21"/>
                <w:szCs w:val="21"/>
                <w:highlight w:val="none"/>
              </w:rPr>
            </w:pPr>
          </w:p>
        </w:tc>
      </w:tr>
    </w:tbl>
    <w:p w14:paraId="23FD130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备注：本表后应附企业法人营业执照等材料的复印件。</w:t>
      </w:r>
    </w:p>
    <w:p w14:paraId="5B07FA61">
      <w:pPr>
        <w:pStyle w:val="2"/>
        <w:keepNext w:val="0"/>
        <w:keepLines w:val="0"/>
        <w:pageBreakBefore w:val="0"/>
        <w:widowControl w:val="0"/>
        <w:kinsoku/>
        <w:wordWrap w:val="0"/>
        <w:overflowPunct/>
        <w:topLinePunct w:val="0"/>
        <w:autoSpaceDE/>
        <w:autoSpaceDN/>
        <w:bidi w:val="0"/>
        <w:adjustRightInd w:val="0"/>
        <w:snapToGrid w:val="0"/>
        <w:spacing w:before="0" w:line="360" w:lineRule="auto"/>
        <w:ind w:left="0" w:leftChars="0" w:right="0" w:firstLine="0" w:firstLineChars="0"/>
        <w:rPr>
          <w:rFonts w:hint="eastAsia" w:ascii="宋体" w:hAnsi="宋体" w:eastAsia="宋体" w:cs="宋体"/>
          <w:color w:val="auto"/>
          <w:sz w:val="21"/>
          <w:szCs w:val="21"/>
          <w:highlight w:val="none"/>
        </w:rPr>
      </w:pPr>
    </w:p>
    <w:p w14:paraId="7407C312">
      <w:pPr>
        <w:rPr>
          <w:rFonts w:hint="eastAsia" w:ascii="宋体" w:hAnsi="宋体" w:eastAsia="宋体" w:cs="宋体"/>
          <w:color w:val="auto"/>
          <w:sz w:val="21"/>
          <w:szCs w:val="21"/>
          <w:highlight w:val="none"/>
        </w:rPr>
      </w:pPr>
    </w:p>
    <w:p w14:paraId="2175D94E">
      <w:pPr>
        <w:pStyle w:val="2"/>
        <w:rPr>
          <w:rFonts w:hint="eastAsia" w:ascii="宋体" w:hAnsi="宋体" w:eastAsia="宋体" w:cs="宋体"/>
          <w:color w:val="auto"/>
          <w:sz w:val="21"/>
          <w:szCs w:val="21"/>
          <w:highlight w:val="none"/>
        </w:rPr>
      </w:pPr>
    </w:p>
    <w:p w14:paraId="279E7F2A">
      <w:pPr>
        <w:rPr>
          <w:rFonts w:hint="eastAsia" w:ascii="宋体" w:hAnsi="宋体" w:eastAsia="宋体" w:cs="宋体"/>
          <w:color w:val="auto"/>
          <w:highlight w:val="none"/>
        </w:rPr>
      </w:pPr>
    </w:p>
    <w:p w14:paraId="24AE71BD">
      <w:pPr>
        <w:keepNext w:val="0"/>
        <w:keepLines w:val="0"/>
        <w:pageBreakBefore w:val="0"/>
        <w:widowControl w:val="0"/>
        <w:kinsoku/>
        <w:wordWrap w:val="0"/>
        <w:overflowPunct/>
        <w:topLinePunct w:val="0"/>
        <w:autoSpaceDE/>
        <w:autoSpaceDN/>
        <w:bidi w:val="0"/>
        <w:adjustRightInd w:val="0"/>
        <w:snapToGrid w:val="0"/>
        <w:spacing w:line="360" w:lineRule="auto"/>
        <w:ind w:right="0"/>
        <w:rPr>
          <w:rFonts w:hint="eastAsia" w:ascii="宋体" w:hAnsi="宋体" w:eastAsia="宋体" w:cs="宋体"/>
          <w:color w:val="auto"/>
          <w:sz w:val="21"/>
          <w:szCs w:val="21"/>
          <w:highlight w:val="none"/>
        </w:rPr>
      </w:pPr>
    </w:p>
    <w:p w14:paraId="2F26B93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承诺书</w:t>
      </w:r>
    </w:p>
    <w:p w14:paraId="4F14628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承诺书</w:t>
      </w:r>
    </w:p>
    <w:p w14:paraId="1627597C">
      <w:pPr>
        <w:pStyle w:val="2"/>
        <w:rPr>
          <w:rFonts w:hint="eastAsia" w:ascii="宋体" w:hAnsi="宋体" w:eastAsia="宋体" w:cs="宋体"/>
          <w:color w:val="auto"/>
          <w:highlight w:val="none"/>
        </w:rPr>
      </w:pPr>
    </w:p>
    <w:p w14:paraId="276F83F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名称）：</w:t>
      </w:r>
    </w:p>
    <w:p w14:paraId="34D4CD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我方在此承诺，如我方中标，我方将在成交公示期满后立即进场施工。否则视为我方自动放弃中标资格，并愿意承担因此引起的一切后果。</w:t>
      </w:r>
    </w:p>
    <w:p w14:paraId="1E59120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71A0312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07AF11B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4AD1FE3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1F7FA43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11EBFF5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7472139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248BBB0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746B066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354432B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7A894D4">
      <w:pPr>
        <w:pStyle w:val="2"/>
        <w:wordWrap/>
        <w:rPr>
          <w:rFonts w:hint="eastAsia" w:ascii="宋体" w:hAnsi="宋体" w:eastAsia="宋体" w:cs="宋体"/>
          <w:color w:val="auto"/>
          <w:highlight w:val="none"/>
        </w:rPr>
      </w:pPr>
    </w:p>
    <w:p w14:paraId="506387B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0AE8E81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jc w:val="right"/>
        <w:rPr>
          <w:rFonts w:hint="eastAsia" w:ascii="宋体" w:hAnsi="宋体" w:eastAsia="宋体" w:cs="宋体"/>
          <w:color w:val="auto"/>
          <w:sz w:val="21"/>
          <w:szCs w:val="21"/>
          <w:highlight w:val="none"/>
        </w:rPr>
      </w:pPr>
    </w:p>
    <w:p w14:paraId="7B0B67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1CE9EF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rPr>
      </w:pPr>
    </w:p>
    <w:p w14:paraId="11BC10D8">
      <w:pPr>
        <w:pStyle w:val="4"/>
        <w:keepNext w:val="0"/>
        <w:keepLines w:val="0"/>
        <w:pageBreakBefore w:val="0"/>
        <w:widowControl w:val="0"/>
        <w:kinsoku/>
        <w:wordWrap w:val="0"/>
        <w:overflowPunct/>
        <w:topLinePunct w:val="0"/>
        <w:autoSpaceDE/>
        <w:autoSpaceDN/>
        <w:bidi w:val="0"/>
        <w:adjustRightInd w:val="0"/>
        <w:snapToGrid w:val="0"/>
        <w:spacing w:before="0" w:after="0" w:line="360" w:lineRule="auto"/>
        <w:ind w:left="0" w:leftChars="0" w:right="0" w:firstLine="0" w:firstLineChars="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83" w:name="_Toc4810"/>
      <w:r>
        <w:rPr>
          <w:rFonts w:hint="eastAsia" w:ascii="宋体" w:hAnsi="宋体" w:eastAsia="宋体" w:cs="宋体"/>
          <w:color w:val="auto"/>
          <w:sz w:val="32"/>
          <w:szCs w:val="32"/>
          <w:highlight w:val="none"/>
          <w:lang w:val="en-US" w:eastAsia="zh-CN"/>
        </w:rPr>
        <w:t>八</w:t>
      </w:r>
      <w:r>
        <w:rPr>
          <w:rFonts w:hint="eastAsia" w:ascii="宋体" w:hAnsi="宋体" w:eastAsia="宋体" w:cs="宋体"/>
          <w:color w:val="auto"/>
          <w:sz w:val="32"/>
          <w:szCs w:val="32"/>
          <w:highlight w:val="none"/>
        </w:rPr>
        <w:t>、建设工程扬尘治理工作承诺书</w:t>
      </w:r>
      <w:bookmarkEnd w:id="83"/>
    </w:p>
    <w:p w14:paraId="24AE59C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为切实做好建设工程扬尘治理工作，进一步改善空气环境质量，依据省、市文件精神，按照市委市政府“全年任务目标化，所有目标项目化，一切项目责任化，每项责任考核化”的工作要求，本项目郑重承诺如下：</w:t>
      </w:r>
    </w:p>
    <w:p w14:paraId="34BD6397">
      <w:pPr>
        <w:keepNext w:val="0"/>
        <w:keepLines w:val="0"/>
        <w:pageBreakBefore w:val="0"/>
        <w:widowControl w:val="0"/>
        <w:kinsoku/>
        <w:wordWrap w:val="0"/>
        <w:overflowPunct/>
        <w:topLinePunct w:val="0"/>
        <w:autoSpaceDE/>
        <w:autoSpaceDN/>
        <w:bidi w:val="0"/>
        <w:adjustRightInd w:val="0"/>
        <w:snapToGrid w:val="0"/>
        <w:spacing w:line="360" w:lineRule="auto"/>
        <w:ind w:right="0"/>
        <w:outlineLvl w:val="1"/>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一、工作目标</w:t>
      </w:r>
    </w:p>
    <w:p w14:paraId="7759DA0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实现“施工现场100%围挡；路面100%硬化；驶出车辆100%冲洗；运输车辆100%密闭；裸露物料100%覆盖；特殊作业及扬尘地块100%喷淋洒水；出入口路段100%清扫洒水”。</w:t>
      </w:r>
    </w:p>
    <w:p w14:paraId="0E80DB88">
      <w:pPr>
        <w:keepNext w:val="0"/>
        <w:keepLines w:val="0"/>
        <w:pageBreakBefore w:val="0"/>
        <w:widowControl w:val="0"/>
        <w:kinsoku/>
        <w:wordWrap w:val="0"/>
        <w:overflowPunct/>
        <w:topLinePunct w:val="0"/>
        <w:autoSpaceDE/>
        <w:autoSpaceDN/>
        <w:bidi w:val="0"/>
        <w:adjustRightInd w:val="0"/>
        <w:snapToGrid w:val="0"/>
        <w:spacing w:line="360" w:lineRule="auto"/>
        <w:ind w:right="0"/>
        <w:outlineLvl w:val="1"/>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二、</w:t>
      </w:r>
      <w:r>
        <w:rPr>
          <w:rFonts w:hint="eastAsia" w:ascii="宋体" w:hAnsi="宋体" w:eastAsia="宋体" w:cs="宋体"/>
          <w:color w:val="auto"/>
          <w:sz w:val="21"/>
          <w:szCs w:val="21"/>
          <w:highlight w:val="none"/>
          <w:lang w:bidi="ar"/>
        </w:rPr>
        <w:t>承诺事项</w:t>
      </w:r>
    </w:p>
    <w:p w14:paraId="196991E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1、坚决贯彻执行《济宁市</w:t>
      </w:r>
      <w:r>
        <w:rPr>
          <w:rFonts w:hint="eastAsia" w:ascii="宋体" w:hAnsi="宋体" w:eastAsia="宋体" w:cs="宋体"/>
          <w:color w:val="auto"/>
          <w:sz w:val="21"/>
          <w:szCs w:val="21"/>
          <w:highlight w:val="none"/>
          <w:lang w:eastAsia="zh-CN" w:bidi="ar"/>
        </w:rPr>
        <w:t>市政公用</w:t>
      </w:r>
      <w:r>
        <w:rPr>
          <w:rFonts w:hint="eastAsia" w:ascii="宋体" w:hAnsi="宋体" w:eastAsia="宋体" w:cs="宋体"/>
          <w:color w:val="auto"/>
          <w:sz w:val="21"/>
          <w:szCs w:val="21"/>
          <w:highlight w:val="none"/>
          <w:lang w:bidi="ar"/>
        </w:rPr>
        <w:t>工地扬尘治理工作导则（试行）》，切实做好生产现场及周边环境的扬尘整治工作。</w:t>
      </w:r>
    </w:p>
    <w:p w14:paraId="30C27B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2、建立健全公司扬尘整治专项检查组织机构，夯实扬尘治理工作责任，针对不同施工阶段，制定具体防治措施。</w:t>
      </w:r>
    </w:p>
    <w:p w14:paraId="7A9BC8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3、切实保证本项目做好扬尘治理工作，安排专人负责施工现场重要部位、重要环节的清洗和洒水，切实做好施工现场的降尘工作；切实用好安全文明施工费，确保专款专用，使扬尘整治活动能够顺利有效的持续开展进行。  </w:t>
      </w:r>
    </w:p>
    <w:p w14:paraId="35B7632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4、认真开展施工现场扬尘污染综合整治活动，对施工现场，每月组织不少于两次的专项检查，对发现的问题及时监督整改。</w:t>
      </w:r>
    </w:p>
    <w:p w14:paraId="2AF5FAB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5、完善施工扬尘处置应急预案，在气象部门发布空气质量预警时，坚决停止室外生产及其他易产生扬尘作业，并采取有效措施进行降尘。</w:t>
      </w:r>
    </w:p>
    <w:p w14:paraId="1FFE32F9">
      <w:pPr>
        <w:keepNext w:val="0"/>
        <w:keepLines w:val="0"/>
        <w:pageBreakBefore w:val="0"/>
        <w:widowControl w:val="0"/>
        <w:kinsoku/>
        <w:wordWrap w:val="0"/>
        <w:overflowPunct/>
        <w:topLinePunct w:val="0"/>
        <w:autoSpaceDE/>
        <w:autoSpaceDN/>
        <w:bidi w:val="0"/>
        <w:adjustRightInd w:val="0"/>
        <w:snapToGrid w:val="0"/>
        <w:spacing w:line="360" w:lineRule="auto"/>
        <w:ind w:right="0"/>
        <w:outlineLvl w:val="1"/>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三、责任追究</w:t>
      </w:r>
    </w:p>
    <w:p w14:paraId="542FCFB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1、坚决落实“三不”惩治措施。对扬尘治理不达标的工程不予验收、不予拨付安全文明施工费、不予评选优质工程，并在创建安全文明工地活动中实行一票否决。</w:t>
      </w:r>
    </w:p>
    <w:p w14:paraId="3B22144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2、对达不到扬尘治理标准的、要求停工整改拒不整改的项目，提请上级主管部门取消该项目负责人建造师执业资格（或项目经理证）。</w:t>
      </w:r>
    </w:p>
    <w:p w14:paraId="357C0C6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3、实行周调度、月通报制度，对扬尘治理工作开展不积极、问题整改不到位、治理标准不达标的企业，进行通报批评，依据《邹城市</w:t>
      </w:r>
      <w:r>
        <w:rPr>
          <w:rFonts w:hint="eastAsia" w:ascii="宋体" w:hAnsi="宋体" w:cs="宋体"/>
          <w:color w:val="auto"/>
          <w:sz w:val="21"/>
          <w:szCs w:val="21"/>
          <w:highlight w:val="none"/>
          <w:lang w:eastAsia="zh-CN" w:bidi="ar"/>
        </w:rPr>
        <w:t>建筑工程</w:t>
      </w:r>
      <w:r>
        <w:rPr>
          <w:rFonts w:hint="eastAsia" w:ascii="宋体" w:hAnsi="宋体" w:eastAsia="宋体" w:cs="宋体"/>
          <w:color w:val="auto"/>
          <w:sz w:val="21"/>
          <w:szCs w:val="21"/>
          <w:highlight w:val="none"/>
          <w:lang w:bidi="ar"/>
        </w:rPr>
        <w:t>施工企业管理考核办法》扣分，并纳入年终综合考核。</w:t>
      </w:r>
    </w:p>
    <w:p w14:paraId="59702EE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本项目采取一切有效措施，确保完成承诺事项，否则，自愿接受主管部门做出的一切处罚。</w:t>
      </w:r>
    </w:p>
    <w:p w14:paraId="6E4CA54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lang w:bidi="ar"/>
        </w:rPr>
      </w:pPr>
    </w:p>
    <w:p w14:paraId="6E05059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供应商：</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（盖单位章）</w:t>
      </w:r>
    </w:p>
    <w:p w14:paraId="774BC49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法定代表人：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签字或盖章）</w:t>
      </w:r>
    </w:p>
    <w:p w14:paraId="3E15E998">
      <w:pPr>
        <w:pStyle w:val="4"/>
        <w:jc w:val="center"/>
        <w:outlineLvl w:val="9"/>
        <w:rPr>
          <w:rFonts w:hint="eastAsia" w:ascii="宋体" w:hAnsi="宋体" w:eastAsia="宋体" w:cs="宋体"/>
          <w:color w:val="auto"/>
          <w:sz w:val="24"/>
          <w:highlight w:val="none"/>
        </w:rPr>
        <w:sectPr>
          <w:footerReference r:id="rId12" w:type="first"/>
          <w:footerReference r:id="rId11" w:type="default"/>
          <w:pgSz w:w="11906" w:h="16838"/>
          <w:pgMar w:top="1440" w:right="1080" w:bottom="1440" w:left="1026" w:header="851" w:footer="992" w:gutter="0"/>
          <w:pgNumType w:fmt="decimal"/>
          <w:cols w:space="720" w:num="1"/>
          <w:titlePg/>
          <w:docGrid w:type="lines" w:linePitch="286" w:charSpace="0"/>
        </w:sectPr>
      </w:pPr>
    </w:p>
    <w:p w14:paraId="2D901AC2">
      <w:pPr>
        <w:pStyle w:val="14"/>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rPr>
          <w:rFonts w:hint="eastAsia" w:ascii="宋体" w:hAnsi="宋体" w:eastAsia="宋体" w:cs="宋体"/>
          <w:b/>
          <w:color w:val="auto"/>
          <w:sz w:val="21"/>
          <w:szCs w:val="21"/>
          <w:highlight w:val="none"/>
        </w:rPr>
      </w:pPr>
    </w:p>
    <w:p w14:paraId="76CA33FE">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right="0" w:rightChars="0"/>
        <w:jc w:val="center"/>
        <w:outlineLvl w:val="0"/>
        <w:rPr>
          <w:rFonts w:hint="eastAsia" w:ascii="宋体" w:hAnsi="宋体" w:eastAsia="宋体" w:cs="宋体"/>
          <w:b/>
          <w:i w:val="0"/>
          <w:iCs w:val="0"/>
          <w:color w:val="auto"/>
          <w:sz w:val="32"/>
          <w:szCs w:val="36"/>
          <w:highlight w:val="none"/>
        </w:rPr>
      </w:pPr>
      <w:bookmarkStart w:id="84" w:name="_Toc12296"/>
      <w:bookmarkStart w:id="85" w:name="_Toc10369"/>
      <w:r>
        <w:rPr>
          <w:rFonts w:hint="eastAsia" w:ascii="宋体" w:hAnsi="宋体" w:eastAsia="宋体" w:cs="宋体"/>
          <w:b/>
          <w:i w:val="0"/>
          <w:iCs w:val="0"/>
          <w:color w:val="auto"/>
          <w:sz w:val="32"/>
          <w:szCs w:val="32"/>
          <w:highlight w:val="none"/>
          <w:lang w:val="en-US" w:eastAsia="zh-CN"/>
        </w:rPr>
        <w:t>九</w:t>
      </w:r>
      <w:r>
        <w:rPr>
          <w:rFonts w:hint="eastAsia" w:ascii="宋体" w:hAnsi="宋体" w:eastAsia="宋体" w:cs="宋体"/>
          <w:b/>
          <w:i w:val="0"/>
          <w:iCs w:val="0"/>
          <w:color w:val="auto"/>
          <w:sz w:val="32"/>
          <w:szCs w:val="32"/>
          <w:highlight w:val="none"/>
        </w:rPr>
        <w:t>、</w:t>
      </w:r>
      <w:r>
        <w:rPr>
          <w:rFonts w:hint="eastAsia" w:ascii="宋体" w:hAnsi="宋体" w:eastAsia="宋体" w:cs="宋体"/>
          <w:b/>
          <w:i w:val="0"/>
          <w:iCs w:val="0"/>
          <w:color w:val="auto"/>
          <w:sz w:val="32"/>
          <w:szCs w:val="36"/>
          <w:highlight w:val="none"/>
        </w:rPr>
        <w:t>其他资料</w:t>
      </w:r>
      <w:bookmarkEnd w:id="84"/>
      <w:bookmarkEnd w:id="85"/>
    </w:p>
    <w:p w14:paraId="5C66792B">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r>
        <w:rPr>
          <w:rFonts w:hint="eastAsia" w:ascii="宋体" w:hAnsi="宋体" w:eastAsia="宋体" w:cs="宋体"/>
          <w:b/>
          <w:i w:val="0"/>
          <w:iCs w:val="0"/>
          <w:color w:val="auto"/>
          <w:highlight w:val="none"/>
        </w:rPr>
        <w:t>供应商认为需要加以说明的其他内容和需要提供的证明文件</w:t>
      </w:r>
    </w:p>
    <w:p w14:paraId="69CE387C">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r>
        <w:rPr>
          <w:rFonts w:hint="eastAsia" w:ascii="宋体" w:hAnsi="宋体" w:eastAsia="宋体" w:cs="宋体"/>
          <w:b/>
          <w:i w:val="0"/>
          <w:iCs w:val="0"/>
          <w:color w:val="auto"/>
          <w:highlight w:val="none"/>
        </w:rPr>
        <w:t>1、……</w:t>
      </w:r>
    </w:p>
    <w:p w14:paraId="2013859A">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r>
        <w:rPr>
          <w:rFonts w:hint="eastAsia" w:ascii="宋体" w:hAnsi="宋体" w:eastAsia="宋体" w:cs="宋体"/>
          <w:b/>
          <w:i w:val="0"/>
          <w:iCs w:val="0"/>
          <w:color w:val="auto"/>
          <w:highlight w:val="none"/>
        </w:rPr>
        <w:t>2、……</w:t>
      </w:r>
    </w:p>
    <w:p w14:paraId="67D6235D">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r>
        <w:rPr>
          <w:rFonts w:hint="eastAsia" w:ascii="宋体" w:hAnsi="宋体" w:eastAsia="宋体" w:cs="宋体"/>
          <w:b/>
          <w:i w:val="0"/>
          <w:iCs w:val="0"/>
          <w:color w:val="auto"/>
          <w:highlight w:val="none"/>
        </w:rPr>
        <w:t>3、……</w:t>
      </w:r>
    </w:p>
    <w:p w14:paraId="1F016D22">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3280728C">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27D7CCCB">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3725F0BC">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66D187FF">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5DBB3D70">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42176E48">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0CFC7607">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30F1A76D">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4DE8253E">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444D3DEF">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0732A13A">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37A48AF7">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7815CB74">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01E510CD">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74848C75">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7A71E604">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71E714BE">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133E64CD">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2645D020">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5D961FDF">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21C7B530">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291A9075">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1A2AFA4D">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0B2376EE">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31FF426D">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5675621D">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79952DF6">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3131FEE3">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04C450CF">
      <w:pPr>
        <w:pStyle w:val="14"/>
        <w:keepNext w:val="0"/>
        <w:keepLines w:val="0"/>
        <w:pageBreakBefore w:val="0"/>
        <w:widowControl w:val="0"/>
        <w:tabs>
          <w:tab w:val="left" w:pos="9638"/>
        </w:tabs>
        <w:kinsoku/>
        <w:wordWrap w:val="0"/>
        <w:overflowPunct/>
        <w:topLinePunct w:val="0"/>
        <w:autoSpaceDE/>
        <w:autoSpaceDN/>
        <w:bidi w:val="0"/>
        <w:adjustRightInd w:val="0"/>
        <w:snapToGrid w:val="0"/>
        <w:spacing w:beforeAutospacing="0" w:afterAutospacing="0" w:line="360" w:lineRule="auto"/>
        <w:ind w:left="0" w:leftChars="0" w:right="0" w:rightChars="0" w:firstLine="422" w:firstLineChars="200"/>
        <w:jc w:val="left"/>
        <w:rPr>
          <w:rFonts w:hint="eastAsia" w:ascii="宋体" w:hAnsi="宋体" w:eastAsia="宋体" w:cs="宋体"/>
          <w:b/>
          <w:i w:val="0"/>
          <w:iCs w:val="0"/>
          <w:color w:val="auto"/>
          <w:highlight w:val="none"/>
        </w:rPr>
      </w:pPr>
    </w:p>
    <w:p w14:paraId="76C6DA1C">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right="0" w:rightChars="0"/>
        <w:jc w:val="left"/>
        <w:outlineLvl w:val="0"/>
        <w:rPr>
          <w:rFonts w:hint="eastAsia" w:ascii="宋体" w:hAnsi="宋体" w:eastAsia="宋体" w:cs="宋体"/>
          <w:b/>
          <w:bCs/>
          <w:i w:val="0"/>
          <w:iCs w:val="0"/>
          <w:color w:val="auto"/>
          <w:sz w:val="24"/>
          <w:szCs w:val="32"/>
          <w:highlight w:val="none"/>
        </w:rPr>
      </w:pPr>
      <w:bookmarkStart w:id="86" w:name="_Toc31429"/>
      <w:bookmarkStart w:id="87" w:name="_Toc13148"/>
      <w:r>
        <w:rPr>
          <w:rFonts w:hint="eastAsia" w:ascii="宋体" w:hAnsi="宋体" w:eastAsia="宋体" w:cs="宋体"/>
          <w:b/>
          <w:bCs/>
          <w:i w:val="0"/>
          <w:iCs w:val="0"/>
          <w:color w:val="auto"/>
          <w:sz w:val="24"/>
          <w:szCs w:val="32"/>
          <w:highlight w:val="none"/>
        </w:rPr>
        <w:t>附件</w:t>
      </w:r>
      <w:bookmarkEnd w:id="86"/>
      <w:bookmarkEnd w:id="87"/>
    </w:p>
    <w:p w14:paraId="23460E8F">
      <w:pPr>
        <w:pStyle w:val="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磋商响应文件密封信封正面格式</w:t>
      </w:r>
    </w:p>
    <w:tbl>
      <w:tblPr>
        <w:tblStyle w:val="11"/>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9"/>
      </w:tblGrid>
      <w:tr w14:paraId="249E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9419" w:type="dxa"/>
            <w:noWrap w:val="0"/>
            <w:vAlign w:val="top"/>
          </w:tcPr>
          <w:p w14:paraId="3F9EC40E">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i w:val="0"/>
                <w:iCs w:val="0"/>
                <w:color w:val="auto"/>
                <w:szCs w:val="21"/>
                <w:highlight w:val="none"/>
              </w:rPr>
            </w:pPr>
          </w:p>
          <w:p w14:paraId="6076CABC">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righ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正（副）本</w:t>
            </w:r>
          </w:p>
          <w:p w14:paraId="749798A7">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项目编号</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p>
          <w:p w14:paraId="11B155BC">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项目名称</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（项目名称）</w:t>
            </w:r>
          </w:p>
          <w:p w14:paraId="4D0993B2">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供应商名称</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u w:val="single"/>
              </w:rPr>
              <w:t xml:space="preserve">                     </w:t>
            </w:r>
          </w:p>
          <w:p w14:paraId="4CD71A7E">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地址</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p>
          <w:p w14:paraId="0A249268">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电话</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p>
          <w:p w14:paraId="7A193548">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传真</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p>
        </w:tc>
      </w:tr>
    </w:tbl>
    <w:p w14:paraId="3EFE36B0">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i w:val="0"/>
          <w:iCs w:val="0"/>
          <w:color w:val="auto"/>
          <w:szCs w:val="21"/>
          <w:highlight w:val="none"/>
        </w:rPr>
      </w:pPr>
    </w:p>
    <w:p w14:paraId="2E686178">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备注</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正副本分开包装密封的应标记“正本”或“副本”。</w:t>
      </w:r>
    </w:p>
    <w:p w14:paraId="69DA6B4B">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center"/>
        <w:rPr>
          <w:rFonts w:hint="eastAsia" w:ascii="宋体" w:hAnsi="宋体" w:eastAsia="宋体" w:cs="宋体"/>
          <w:i w:val="0"/>
          <w:iCs w:val="0"/>
          <w:color w:val="auto"/>
          <w:kern w:val="0"/>
          <w:szCs w:val="21"/>
          <w:highlight w:val="none"/>
        </w:rPr>
      </w:pPr>
    </w:p>
    <w:p w14:paraId="357DA0AE">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center"/>
        <w:outlineLvl w:val="0"/>
        <w:rPr>
          <w:rFonts w:hint="eastAsia" w:ascii="宋体" w:hAnsi="宋体" w:eastAsia="宋体" w:cs="宋体"/>
          <w:i w:val="0"/>
          <w:iCs w:val="0"/>
          <w:color w:val="auto"/>
          <w:kern w:val="0"/>
          <w:szCs w:val="21"/>
          <w:highlight w:val="none"/>
        </w:rPr>
      </w:pPr>
      <w:bookmarkStart w:id="88" w:name="_Toc11962"/>
    </w:p>
    <w:p w14:paraId="2D7F9609">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right="0" w:rightChars="0"/>
        <w:jc w:val="both"/>
        <w:outlineLvl w:val="0"/>
        <w:rPr>
          <w:rFonts w:hint="eastAsia" w:ascii="宋体" w:hAnsi="宋体" w:eastAsia="宋体" w:cs="宋体"/>
          <w:i w:val="0"/>
          <w:iCs w:val="0"/>
          <w:color w:val="auto"/>
          <w:kern w:val="0"/>
          <w:szCs w:val="21"/>
          <w:highlight w:val="none"/>
        </w:rPr>
      </w:pPr>
    </w:p>
    <w:p w14:paraId="638C4F65">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center"/>
        <w:outlineLvl w:val="0"/>
        <w:rPr>
          <w:rFonts w:hint="eastAsia" w:ascii="宋体" w:hAnsi="宋体" w:eastAsia="宋体" w:cs="宋体"/>
          <w:i w:val="0"/>
          <w:iCs w:val="0"/>
          <w:color w:val="auto"/>
          <w:kern w:val="0"/>
          <w:szCs w:val="21"/>
          <w:highlight w:val="none"/>
        </w:rPr>
      </w:pPr>
    </w:p>
    <w:p w14:paraId="27CB3C29">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center"/>
        <w:outlineLvl w:val="0"/>
        <w:rPr>
          <w:rFonts w:hint="eastAsia" w:ascii="宋体" w:hAnsi="宋体" w:eastAsia="宋体" w:cs="宋体"/>
          <w:i w:val="0"/>
          <w:iCs w:val="0"/>
          <w:color w:val="auto"/>
          <w:kern w:val="0"/>
          <w:szCs w:val="21"/>
          <w:highlight w:val="none"/>
        </w:rPr>
      </w:pPr>
    </w:p>
    <w:p w14:paraId="3BFC00FC">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center"/>
        <w:outlineLvl w:val="0"/>
        <w:rPr>
          <w:rFonts w:hint="eastAsia" w:ascii="宋体" w:hAnsi="宋体" w:eastAsia="宋体" w:cs="宋体"/>
          <w:i w:val="0"/>
          <w:iCs w:val="0"/>
          <w:color w:val="auto"/>
          <w:kern w:val="0"/>
          <w:szCs w:val="21"/>
          <w:highlight w:val="none"/>
        </w:rPr>
      </w:pPr>
    </w:p>
    <w:p w14:paraId="54AF603E">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center"/>
        <w:outlineLvl w:val="0"/>
        <w:rPr>
          <w:rFonts w:hint="eastAsia" w:ascii="宋体" w:hAnsi="宋体" w:eastAsia="宋体" w:cs="宋体"/>
          <w:i w:val="0"/>
          <w:iCs w:val="0"/>
          <w:color w:val="auto"/>
          <w:kern w:val="0"/>
          <w:szCs w:val="21"/>
          <w:highlight w:val="none"/>
        </w:rPr>
      </w:pPr>
    </w:p>
    <w:p w14:paraId="5CA59851">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center"/>
        <w:outlineLvl w:val="0"/>
        <w:rPr>
          <w:rFonts w:hint="eastAsia" w:ascii="宋体" w:hAnsi="宋体" w:eastAsia="宋体" w:cs="宋体"/>
          <w:bCs/>
          <w:i w:val="0"/>
          <w:iCs w:val="0"/>
          <w:color w:val="auto"/>
          <w:szCs w:val="21"/>
          <w:highlight w:val="none"/>
        </w:rPr>
      </w:pPr>
      <w:r>
        <w:rPr>
          <w:rFonts w:hint="eastAsia" w:ascii="宋体" w:hAnsi="宋体" w:eastAsia="宋体" w:cs="宋体"/>
          <w:i w:val="0"/>
          <w:iCs w:val="0"/>
          <w:color w:val="auto"/>
          <w:kern w:val="0"/>
          <w:szCs w:val="21"/>
          <w:highlight w:val="none"/>
        </w:rPr>
        <w:t>磋商</w:t>
      </w:r>
      <w:r>
        <w:rPr>
          <w:rFonts w:hint="eastAsia" w:ascii="宋体" w:hAnsi="宋体" w:eastAsia="宋体" w:cs="宋体"/>
          <w:bCs/>
          <w:i w:val="0"/>
          <w:iCs w:val="0"/>
          <w:color w:val="auto"/>
          <w:szCs w:val="21"/>
          <w:highlight w:val="none"/>
        </w:rPr>
        <w:t>响应文件密封信封封口格式</w:t>
      </w:r>
      <w:bookmarkEnd w:id="88"/>
    </w:p>
    <w:tbl>
      <w:tblPr>
        <w:tblStyle w:val="11"/>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0"/>
      </w:tblGrid>
      <w:tr w14:paraId="3CBA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1" w:hRule="atLeast"/>
          <w:jc w:val="center"/>
        </w:trPr>
        <w:tc>
          <w:tcPr>
            <w:tcW w:w="9600" w:type="dxa"/>
            <w:noWrap w:val="0"/>
            <w:vAlign w:val="top"/>
          </w:tcPr>
          <w:p w14:paraId="6EBC7BA6">
            <w:pPr>
              <w:pStyle w:val="4"/>
              <w:outlineLvl w:val="9"/>
              <w:rPr>
                <w:rFonts w:hint="eastAsia" w:ascii="宋体" w:hAnsi="宋体" w:eastAsia="宋体" w:cs="宋体"/>
                <w:color w:val="auto"/>
                <w:highlight w:val="none"/>
              </w:rPr>
            </w:pPr>
          </w:p>
          <w:p w14:paraId="7C55D154">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right="0" w:rightChars="0"/>
              <w:jc w:val="left"/>
              <w:rPr>
                <w:rFonts w:hint="eastAsia" w:ascii="宋体" w:hAnsi="宋体" w:eastAsia="宋体" w:cs="宋体"/>
                <w:bCs/>
                <w:i w:val="0"/>
                <w:iCs w:val="0"/>
                <w:color w:val="auto"/>
                <w:szCs w:val="21"/>
                <w:highlight w:val="none"/>
              </w:rPr>
            </w:pPr>
            <w:r>
              <w:rPr>
                <w:rFonts w:hint="eastAsia" w:ascii="宋体" w:hAnsi="宋体" w:eastAsia="宋体" w:cs="宋体"/>
                <w:bCs/>
                <w:i w:val="0"/>
                <w:iCs w:val="0"/>
                <w:color w:val="auto"/>
                <w:szCs w:val="21"/>
                <w:highlight w:val="none"/>
              </w:rPr>
              <w:t xml:space="preserve">……于 </w:t>
            </w:r>
            <w:r>
              <w:rPr>
                <w:rFonts w:hint="eastAsia" w:ascii="宋体" w:hAnsi="宋体" w:eastAsia="宋体" w:cs="宋体"/>
                <w:bCs/>
                <w:i w:val="0"/>
                <w:iCs w:val="0"/>
                <w:color w:val="auto"/>
                <w:szCs w:val="21"/>
                <w:highlight w:val="none"/>
                <w:u w:val="single"/>
              </w:rPr>
              <w:t xml:space="preserve">    </w:t>
            </w:r>
            <w:r>
              <w:rPr>
                <w:rFonts w:hint="eastAsia" w:ascii="宋体" w:hAnsi="宋体" w:eastAsia="宋体" w:cs="宋体"/>
                <w:bCs/>
                <w:i w:val="0"/>
                <w:iCs w:val="0"/>
                <w:color w:val="auto"/>
                <w:szCs w:val="21"/>
                <w:highlight w:val="none"/>
              </w:rPr>
              <w:t>年</w:t>
            </w:r>
            <w:r>
              <w:rPr>
                <w:rFonts w:hint="eastAsia" w:ascii="宋体" w:hAnsi="宋体" w:eastAsia="宋体" w:cs="宋体"/>
                <w:bCs/>
                <w:i w:val="0"/>
                <w:iCs w:val="0"/>
                <w:color w:val="auto"/>
                <w:szCs w:val="21"/>
                <w:highlight w:val="none"/>
                <w:u w:val="single"/>
              </w:rPr>
              <w:t xml:space="preserve">  </w:t>
            </w:r>
            <w:r>
              <w:rPr>
                <w:rFonts w:hint="eastAsia" w:ascii="宋体" w:hAnsi="宋体" w:eastAsia="宋体" w:cs="宋体"/>
                <w:bCs/>
                <w:i w:val="0"/>
                <w:iCs w:val="0"/>
                <w:color w:val="auto"/>
                <w:szCs w:val="21"/>
                <w:highlight w:val="none"/>
              </w:rPr>
              <w:t>月</w:t>
            </w:r>
            <w:r>
              <w:rPr>
                <w:rFonts w:hint="eastAsia" w:ascii="宋体" w:hAnsi="宋体" w:eastAsia="宋体" w:cs="宋体"/>
                <w:bCs/>
                <w:i w:val="0"/>
                <w:iCs w:val="0"/>
                <w:color w:val="auto"/>
                <w:szCs w:val="21"/>
                <w:highlight w:val="none"/>
                <w:u w:val="single"/>
              </w:rPr>
              <w:t xml:space="preserve">  </w:t>
            </w:r>
            <w:r>
              <w:rPr>
                <w:rFonts w:hint="eastAsia" w:ascii="宋体" w:hAnsi="宋体" w:eastAsia="宋体" w:cs="宋体"/>
                <w:bCs/>
                <w:i w:val="0"/>
                <w:iCs w:val="0"/>
                <w:color w:val="auto"/>
                <w:szCs w:val="21"/>
                <w:highlight w:val="none"/>
              </w:rPr>
              <w:t>日</w:t>
            </w:r>
            <w:r>
              <w:rPr>
                <w:rFonts w:hint="eastAsia" w:ascii="宋体" w:hAnsi="宋体" w:eastAsia="宋体" w:cs="宋体"/>
                <w:bCs/>
                <w:i w:val="0"/>
                <w:iCs w:val="0"/>
                <w:color w:val="auto"/>
                <w:szCs w:val="21"/>
                <w:highlight w:val="none"/>
                <w:u w:val="single"/>
              </w:rPr>
              <w:t xml:space="preserve">  </w:t>
            </w:r>
            <w:r>
              <w:rPr>
                <w:rFonts w:hint="eastAsia" w:ascii="宋体" w:hAnsi="宋体" w:eastAsia="宋体" w:cs="宋体"/>
                <w:bCs/>
                <w:i w:val="0"/>
                <w:iCs w:val="0"/>
                <w:color w:val="auto"/>
                <w:szCs w:val="21"/>
                <w:highlight w:val="none"/>
              </w:rPr>
              <w:t>时前不准启封[加盖公章或由法定代表人（或委托代理人）签字（或签章）]……</w:t>
            </w:r>
          </w:p>
          <w:p w14:paraId="625AB8D0">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bCs/>
                <w:i w:val="0"/>
                <w:iCs w:val="0"/>
                <w:color w:val="auto"/>
                <w:szCs w:val="21"/>
                <w:highlight w:val="none"/>
              </w:rPr>
            </w:pPr>
          </w:p>
          <w:p w14:paraId="537B1385">
            <w:pPr>
              <w:pStyle w:val="15"/>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right="0" w:rightChars="0"/>
              <w:jc w:val="center"/>
              <w:textAlignment w:val="auto"/>
              <w:rPr>
                <w:rFonts w:hint="eastAsia" w:ascii="宋体" w:hAnsi="宋体" w:eastAsia="宋体" w:cs="宋体"/>
                <w:bCs/>
                <w:i w:val="0"/>
                <w:iCs w:val="0"/>
                <w:color w:val="auto"/>
                <w:kern w:val="2"/>
                <w:sz w:val="21"/>
                <w:szCs w:val="21"/>
                <w:highlight w:val="none"/>
              </w:rPr>
            </w:pPr>
            <w:r>
              <w:rPr>
                <w:rFonts w:hint="eastAsia" w:ascii="宋体" w:hAnsi="宋体" w:eastAsia="宋体" w:cs="宋体"/>
                <w:bCs/>
                <w:i w:val="0"/>
                <w:iCs w:val="0"/>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2971165</wp:posOffset>
                      </wp:positionH>
                      <wp:positionV relativeFrom="paragraph">
                        <wp:posOffset>263525</wp:posOffset>
                      </wp:positionV>
                      <wp:extent cx="635" cy="693420"/>
                      <wp:effectExtent l="37465" t="0" r="38100" b="11430"/>
                      <wp:wrapNone/>
                      <wp:docPr id="17" name="直接连接符 17"/>
                      <wp:cNvGraphicFramePr/>
                      <a:graphic xmlns:a="http://schemas.openxmlformats.org/drawingml/2006/main">
                        <a:graphicData uri="http://schemas.microsoft.com/office/word/2010/wordprocessingShape">
                          <wps:wsp>
                            <wps:cNvCnPr/>
                            <wps:spPr>
                              <a:xfrm flipV="1">
                                <a:off x="0" y="0"/>
                                <a:ext cx="635" cy="6934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233.95pt;margin-top:20.75pt;height:54.6pt;width:0.05pt;z-index:251659264;mso-width-relative:page;mso-height-relative:page;" filled="f" stroked="t" coordsize="21600,21600" o:gfxdata="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GsoL9oAAAAKAQAADwAAAAAAAAABACAA&#10;AAAiAAAAZHJzL2Rvd25yZXYueG1sUEsBAhQAFAAAAAgAh07iQObH8DULAgAAAwQAAA4AAAAAAAAA&#10;AQAgAAAAKQEAAGRycy9lMm9Eb2MueG1sUEsFBgAAAAAGAAYAWQEAAKYFAAAAAA==&#10;">
                      <v:fill on="f" focussize="0,0"/>
                      <v:stroke color="#000000" joinstyle="round" endarrow="block"/>
                      <v:imagedata o:title=""/>
                      <o:lock v:ext="edit" aspectratio="f"/>
                    </v:line>
                  </w:pict>
                </mc:Fallback>
              </mc:AlternateContent>
            </w:r>
            <w:r>
              <w:rPr>
                <w:rFonts w:hint="eastAsia" w:ascii="宋体" w:hAnsi="宋体" w:eastAsia="宋体" w:cs="宋体"/>
                <w:bCs/>
                <w:i w:val="0"/>
                <w:iCs w:val="0"/>
                <w:color w:val="auto"/>
                <w:kern w:val="2"/>
                <w:sz w:val="21"/>
                <w:szCs w:val="21"/>
                <w:highlight w:val="none"/>
              </w:rPr>
              <w:t>（封口处）</w:t>
            </w:r>
          </w:p>
        </w:tc>
      </w:tr>
    </w:tbl>
    <w:p w14:paraId="7DD4CDDF">
      <w:pPr>
        <w:keepNext w:val="0"/>
        <w:keepLines w:val="0"/>
        <w:pageBreakBefore w:val="0"/>
        <w:widowControl w:val="0"/>
        <w:kinsoku/>
        <w:wordWrap w:val="0"/>
        <w:overflowPunct/>
        <w:topLinePunct w:val="0"/>
        <w:autoSpaceDE/>
        <w:autoSpaceDN/>
        <w:bidi w:val="0"/>
        <w:adjustRightInd w:val="0"/>
        <w:snapToGrid w:val="0"/>
        <w:spacing w:line="360" w:lineRule="auto"/>
        <w:ind w:left="0"/>
        <w:rPr>
          <w:rFonts w:hint="eastAsia" w:ascii="宋体" w:hAnsi="宋体" w:eastAsia="宋体" w:cs="宋体"/>
          <w:i w:val="0"/>
          <w:iCs w:val="0"/>
          <w:color w:val="auto"/>
          <w:highlight w:val="none"/>
        </w:rPr>
      </w:pPr>
    </w:p>
    <w:p w14:paraId="036E3FB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color w:val="auto"/>
          <w:highlight w:val="none"/>
        </w:rPr>
      </w:pPr>
    </w:p>
    <w:p w14:paraId="3B0689F8">
      <w:pPr>
        <w:pStyle w:val="14"/>
        <w:spacing w:line="360" w:lineRule="auto"/>
        <w:ind w:right="480"/>
        <w:rPr>
          <w:rFonts w:hint="eastAsia" w:ascii="宋体" w:hAnsi="宋体" w:eastAsia="宋体" w:cs="宋体"/>
          <w:color w:val="auto"/>
          <w:highlight w:val="none"/>
        </w:rPr>
      </w:pPr>
    </w:p>
    <w:p w14:paraId="67590B44"/>
    <w:sectPr>
      <w:headerReference r:id="rId14" w:type="first"/>
      <w:footerReference r:id="rId16" w:type="first"/>
      <w:headerReference r:id="rId13" w:type="default"/>
      <w:footerReference r:id="rId15" w:type="default"/>
      <w:pgSz w:w="11906" w:h="16838"/>
      <w:pgMar w:top="1134" w:right="1134" w:bottom="1134" w:left="1134" w:header="851" w:footer="992"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5249">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722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DED81">
    <w:pPr>
      <w:pStyle w:val="7"/>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4DFE3">
    <w:pPr>
      <w:pStyle w:val="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F727B">
    <w:pPr>
      <w:pStyle w:val="7"/>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C4E326">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74C4E326">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30FC">
    <w:pPr>
      <w:rPr>
        <w:rFonts w:hint="eastAsia"/>
        <w:lang w:eastAsia="zh-C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AF4006">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9AF4006">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p w14:paraId="7B27BA60">
    <w:pPr>
      <w:pStyle w:val="7"/>
      <w:tabs>
        <w:tab w:val="center" w:pos="0"/>
        <w:tab w:val="right" w:pos="9540"/>
        <w:tab w:val="clear" w:pos="4153"/>
        <w:tab w:val="clear" w:pos="8306"/>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41E42">
    <w:pPr>
      <w:rPr>
        <w:rFonts w:hint="eastAsia"/>
        <w:lang w:eastAsia="zh-C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F765F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1F765F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p w14:paraId="0A84AFE4">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B7D41">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9D4B3E3">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9D4B3E3">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D631E">
    <w:pPr>
      <w:pStyle w:val="7"/>
      <w:tabs>
        <w:tab w:val="clear" w:pos="4153"/>
      </w:tabs>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9CF9BCE">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09CF9BCE">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C8634">
    <w:pPr>
      <w:pStyle w:val="8"/>
      <w:pBdr>
        <w:bottom w:val="none" w:color="auto" w:sz="0" w:space="1"/>
      </w:pBd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C153C">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1A61">
    <w:pPr>
      <w:pStyle w:val="8"/>
      <w:pBdr>
        <w:bottom w:val="none" w:color="auto" w:sz="0" w:space="1"/>
      </w:pBdr>
      <w:jc w:val="left"/>
      <w:rPr>
        <w:rFonts w:hint="eastAsia"/>
      </w:rPr>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CEA15">
    <w:pPr>
      <w:pStyle w:val="8"/>
      <w:pBdr>
        <w:bottom w:val="none" w:color="auto" w:sz="0" w:space="1"/>
      </w:pBdr>
      <w:jc w:val="left"/>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5FB58">
    <w:pPr>
      <w:pStyle w:val="8"/>
      <w:pBdr>
        <w:bottom w:val="none" w:color="auto" w:sz="0" w:space="1"/>
      </w:pBdr>
      <w:jc w:val="left"/>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E7247"/>
    <w:multiLevelType w:val="singleLevel"/>
    <w:tmpl w:val="427E7247"/>
    <w:lvl w:ilvl="0" w:tentative="0">
      <w:start w:val="7"/>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D5ADD"/>
    <w:rsid w:val="01E460C5"/>
    <w:rsid w:val="411D5ADD"/>
    <w:rsid w:val="42C13945"/>
    <w:rsid w:val="48CF7A71"/>
    <w:rsid w:val="776C7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pPr>
    <w:rPr>
      <w:rFonts w:ascii="Arial" w:hAnsi="Arial"/>
      <w:sz w:val="24"/>
      <w:szCs w:val="20"/>
    </w:rPr>
  </w:style>
  <w:style w:type="paragraph" w:styleId="6">
    <w:name w:val="Plain Text"/>
    <w:basedOn w:val="1"/>
    <w:qFormat/>
    <w:uiPriority w:val="0"/>
    <w:pPr>
      <w:adjustRightInd w:val="0"/>
      <w:jc w:val="left"/>
      <w:textAlignment w:val="baseline"/>
    </w:pPr>
    <w:rPr>
      <w:rFonts w:ascii="宋体" w:hAnsi="Courier New"/>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after="120"/>
      <w:jc w:val="left"/>
    </w:pPr>
    <w:rPr>
      <w:rFonts w:ascii="Times New Roman" w:hAnsi="Times New Roman"/>
      <w:b/>
      <w:bCs/>
      <w:caps/>
      <w:sz w:val="20"/>
    </w:rPr>
  </w:style>
  <w:style w:type="paragraph" w:styleId="10">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13">
    <w:name w:val=" Char Char Char Char"/>
    <w:basedOn w:val="1"/>
    <w:autoRedefine/>
    <w:qFormat/>
    <w:uiPriority w:val="0"/>
    <w:rPr>
      <w:kern w:val="0"/>
      <w:sz w:val="24"/>
      <w:szCs w:val="20"/>
    </w:rPr>
  </w:style>
  <w:style w:type="paragraph" w:customStyle="1" w:styleId="14">
    <w:name w:val="p0"/>
    <w:basedOn w:val="1"/>
    <w:autoRedefine/>
    <w:qFormat/>
    <w:uiPriority w:val="0"/>
    <w:pPr>
      <w:widowControl/>
    </w:pPr>
    <w:rPr>
      <w:kern w:val="0"/>
      <w:szCs w:val="21"/>
    </w:rPr>
  </w:style>
  <w:style w:type="paragraph" w:customStyle="1" w:styleId="15">
    <w:name w:val="xl27"/>
    <w:basedOn w:val="1"/>
    <w:autoRedefine/>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7339</Words>
  <Characters>7575</Characters>
  <Lines>0</Lines>
  <Paragraphs>0</Paragraphs>
  <TotalTime>4</TotalTime>
  <ScaleCrop>false</ScaleCrop>
  <LinksUpToDate>false</LinksUpToDate>
  <CharactersWithSpaces>7997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2025-09-18T08:09:00Z</dcterms:created>
  <dc:creator>崔联梅(天伟工程审计公司)</dc:creator>
  <cp:lastModifiedBy>崔联梅(天伟工程审计公司)</cp:lastModifiedBy>
  <dcterms:modified xsi:type="dcterms:W3CDTF">2025-10-10T00:00:38Z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C8E0763D404245A2BEACE68488866C79_11</vt:lpwstr>
  </property>
  <property fmtid="{D5CDD505-2E9C-101B-9397-08002B2CF9AE}" pid="4" name="KSOTemplateDocerSaveRecord">
    <vt:lpwstr>eyJoZGlkIjoiYzAzNzZhNDc3YzRiOWNjNGUzOGI1YTIzMWU4ZjkyNzAiLCJ1c2VySWQiOiI3MDc2NjY1MzQifQ==</vt:lpwstr>
  </property>
</Properties>
</file>